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3EDE" w14:textId="6D2387CC" w:rsidR="00B32D4E" w:rsidRPr="00B32D4E" w:rsidRDefault="00D86EBE" w:rsidP="00B32D4E">
      <w:pPr>
        <w:pStyle w:val="CoverPageSOFF"/>
        <w:rPr>
          <w:rFonts w:eastAsia="Open Sans" w:cs="Open Sans"/>
          <w:b/>
          <w:color w:val="002379"/>
          <w:sz w:val="22"/>
        </w:rPr>
      </w:pPr>
      <w:r>
        <w:rPr>
          <w:noProof/>
        </w:rPr>
        <mc:AlternateContent>
          <mc:Choice Requires="wps">
            <w:drawing>
              <wp:anchor distT="0" distB="0" distL="114300" distR="114300" simplePos="0" relativeHeight="251658241" behindDoc="0" locked="0" layoutInCell="1" allowOverlap="1" wp14:anchorId="1034759B" wp14:editId="58B70E57">
                <wp:simplePos x="0" y="0"/>
                <wp:positionH relativeFrom="column">
                  <wp:posOffset>0</wp:posOffset>
                </wp:positionH>
                <wp:positionV relativeFrom="paragraph">
                  <wp:posOffset>1692275</wp:posOffset>
                </wp:positionV>
                <wp:extent cx="5309870" cy="3351530"/>
                <wp:effectExtent l="0" t="0" r="5080" b="1270"/>
                <wp:wrapNone/>
                <wp:docPr id="1565373838" name="Text Box 1"/>
                <wp:cNvGraphicFramePr/>
                <a:graphic xmlns:a="http://schemas.openxmlformats.org/drawingml/2006/main">
                  <a:graphicData uri="http://schemas.microsoft.com/office/word/2010/wordprocessingShape">
                    <wps:wsp>
                      <wps:cNvSpPr/>
                      <wps:spPr>
                        <a:xfrm>
                          <a:off x="0" y="0"/>
                          <a:ext cx="5309870" cy="3351530"/>
                        </a:xfrm>
                        <a:prstGeom prst="rect">
                          <a:avLst/>
                        </a:prstGeom>
                        <a:noFill/>
                        <a:ln w="6350">
                          <a:noFill/>
                        </a:ln>
                      </wps:spPr>
                      <wps:txbx>
                        <w:txbxContent>
                          <w:p w14:paraId="1FC79D15" w14:textId="77777777" w:rsidR="00B32D4E" w:rsidRPr="00B32D4E" w:rsidRDefault="00B32D4E" w:rsidP="00B32D4E">
                            <w:pPr>
                              <w:pStyle w:val="Title"/>
                              <w:rPr>
                                <w:rFonts w:eastAsia="Malgun Gothic"/>
                                <w:lang w:eastAsia="ko-KR"/>
                              </w:rPr>
                            </w:pPr>
                            <w:r w:rsidRPr="00B32D4E">
                              <w:rPr>
                                <w:rFonts w:eastAsia="Malgun Gothic"/>
                                <w:lang w:eastAsia="ko-KR"/>
                              </w:rPr>
                              <w:t>SOFF Portfolio and</w:t>
                            </w:r>
                          </w:p>
                          <w:p w14:paraId="6E7BEAA2" w14:textId="47E1EC72" w:rsidR="00517A0F" w:rsidRPr="00205264" w:rsidRDefault="00B32D4E" w:rsidP="00B32D4E">
                            <w:pPr>
                              <w:pStyle w:val="Title"/>
                            </w:pPr>
                            <w:r w:rsidRPr="00B32D4E">
                              <w:rPr>
                                <w:rFonts w:eastAsia="Malgun Gothic"/>
                                <w:lang w:eastAsia="ko-KR"/>
                              </w:rPr>
                              <w:t>Implementation Progress</w:t>
                            </w:r>
                          </w:p>
                          <w:p w14:paraId="5B83D624" w14:textId="77777777" w:rsidR="00205264" w:rsidRPr="00205264" w:rsidRDefault="00205264" w:rsidP="00205264">
                            <w:pPr>
                              <w:pStyle w:val="Title"/>
                            </w:pPr>
                          </w:p>
                          <w:p w14:paraId="1D9FFA1D" w14:textId="3C14A28F" w:rsidR="00B32D4E" w:rsidRPr="006643D1" w:rsidRDefault="00B32D4E" w:rsidP="00B32D4E">
                            <w:pPr>
                              <w:pStyle w:val="Subtitle"/>
                            </w:pPr>
                            <w:r>
                              <w:t>INF</w:t>
                            </w:r>
                            <w:r w:rsidRPr="00A5517A">
                              <w:t xml:space="preserve"> </w:t>
                            </w:r>
                            <w:r>
                              <w:t>1</w:t>
                            </w:r>
                            <w:r w:rsidR="00370C9C">
                              <w:t>2</w:t>
                            </w:r>
                            <w:r>
                              <w:t>.2</w:t>
                            </w:r>
                          </w:p>
                          <w:p w14:paraId="29B988EC" w14:textId="353717FC" w:rsidR="00517A0F" w:rsidRPr="009D3BA2" w:rsidRDefault="00517A0F" w:rsidP="00B32D4E">
                            <w:pPr>
                              <w:pStyle w:val="Subtitle"/>
                              <w:rPr>
                                <w:rFonts w:cs="Open Sans"/>
                              </w:rPr>
                            </w:pPr>
                          </w:p>
                        </w:txbxContent>
                      </wps:txbx>
                      <wps:bodyPr spcFirstLastPara="0"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ect w14:anchorId="1034759B" id="Text Box 1" o:spid="_x0000_s1026" style="position:absolute;margin-left:0;margin-top:133.25pt;width:418.1pt;height:26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" filled="f" stroked="f" strokeweight=".5pt">
                <v:textbox inset="0,0,0,0">
                  <w:txbxContent>
                    <w:p w14:paraId="1FC79D15" w14:textId="77777777" w:rsidR="00B32D4E" w:rsidRPr="00B32D4E" w:rsidRDefault="00B32D4E" w:rsidP="00B32D4E">
                      <w:pPr>
                        <w:pStyle w:val="Title"/>
                        <w:rPr>
                          <w:rFonts w:eastAsia="Malgun Gothic"/>
                          <w:lang w:eastAsia="ko-KR"/>
                        </w:rPr>
                      </w:pPr>
                      <w:r w:rsidRPr="00B32D4E">
                        <w:rPr>
                          <w:rFonts w:eastAsia="Malgun Gothic"/>
                          <w:lang w:eastAsia="ko-KR"/>
                        </w:rPr>
                        <w:t>SOFF Portfolio and</w:t>
                      </w:r>
                    </w:p>
                    <w:p w14:paraId="6E7BEAA2" w14:textId="47E1EC72" w:rsidR="00517A0F" w:rsidRPr="00205264" w:rsidRDefault="00B32D4E" w:rsidP="00B32D4E">
                      <w:pPr>
                        <w:pStyle w:val="Title"/>
                      </w:pPr>
                      <w:r w:rsidRPr="00B32D4E">
                        <w:rPr>
                          <w:rFonts w:eastAsia="Malgun Gothic"/>
                          <w:lang w:eastAsia="ko-KR"/>
                        </w:rPr>
                        <w:t>Implementation Progress</w:t>
                      </w:r>
                    </w:p>
                    <w:p w14:paraId="5B83D624" w14:textId="77777777" w:rsidR="00205264" w:rsidRPr="00205264" w:rsidRDefault="00205264" w:rsidP="00205264">
                      <w:pPr>
                        <w:pStyle w:val="Title"/>
                      </w:pPr>
                    </w:p>
                    <w:p w14:paraId="1D9FFA1D" w14:textId="3C14A28F" w:rsidR="00B32D4E" w:rsidRPr="006643D1" w:rsidRDefault="00B32D4E" w:rsidP="00B32D4E">
                      <w:pPr>
                        <w:pStyle w:val="Subtitle"/>
                      </w:pPr>
                      <w:r>
                        <w:t>INF</w:t>
                      </w:r>
                      <w:r w:rsidRPr="00A5517A">
                        <w:t xml:space="preserve"> </w:t>
                      </w:r>
                      <w:r>
                        <w:t>1</w:t>
                      </w:r>
                      <w:r w:rsidR="00370C9C">
                        <w:t>2</w:t>
                      </w:r>
                      <w:r>
                        <w:t>.2</w:t>
                      </w:r>
                    </w:p>
                    <w:p w14:paraId="29B988EC" w14:textId="353717FC" w:rsidR="00517A0F" w:rsidRPr="009D3BA2" w:rsidRDefault="00517A0F" w:rsidP="00B32D4E">
                      <w:pPr>
                        <w:pStyle w:val="Subtitle"/>
                        <w:rPr>
                          <w:rFonts w:cs="Open Sans"/>
                        </w:rPr>
                      </w:pPr>
                    </w:p>
                  </w:txbxContent>
                </v:textbox>
              </v:rect>
            </w:pict>
          </mc:Fallback>
        </mc:AlternateContent>
      </w:r>
      <w:r>
        <w:rPr>
          <w:noProof/>
        </w:rPr>
        <mc:AlternateContent>
          <mc:Choice Requires="wps">
            <w:drawing>
              <wp:anchor distT="0" distB="0" distL="114300" distR="114300" simplePos="0" relativeHeight="251658244" behindDoc="0" locked="0" layoutInCell="1" allowOverlap="1" wp14:anchorId="6CE74E95" wp14:editId="2B1A7CCD">
                <wp:simplePos x="0" y="0"/>
                <wp:positionH relativeFrom="column">
                  <wp:posOffset>0</wp:posOffset>
                </wp:positionH>
                <wp:positionV relativeFrom="paragraph">
                  <wp:posOffset>1690206</wp:posOffset>
                </wp:positionV>
                <wp:extent cx="2109470" cy="0"/>
                <wp:effectExtent l="0" t="0" r="11430" b="12700"/>
                <wp:wrapNone/>
                <wp:docPr id="16652574" name="Straight Connector 1"/>
                <wp:cNvGraphicFramePr/>
                <a:graphic xmlns:a="http://schemas.openxmlformats.org/drawingml/2006/main">
                  <a:graphicData uri="http://schemas.microsoft.com/office/word/2010/wordprocessingShape">
                    <wps:wsp>
                      <wps:cNvCnPr/>
                      <wps:spPr>
                        <a:xfrm>
                          <a:off x="0" y="0"/>
                          <a:ext cx="2109470" cy="0"/>
                        </a:xfrm>
                        <a:prstGeom prst="line">
                          <a:avLst/>
                        </a:prstGeom>
                        <a:ln w="12700">
                          <a:solidFill>
                            <a:srgbClr val="1C34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6="http://schemas.microsoft.com/office/drawing/2014/main" xmlns:c="http://schemas.openxmlformats.org/drawingml/2006/chart" xmlns:a14="http://schemas.microsoft.com/office/drawing/2010/main" xmlns:pic="http://schemas.openxmlformats.org/drawingml/2006/picture" xmlns:a="http://schemas.openxmlformats.org/drawingml/2006/main" xmlns:arto="http://schemas.microsoft.com/office/word/2006/arto">
            <w:pict w14:anchorId="76307CD7">
              <v:line id="Straight Connector 1"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c3453" strokeweight="1pt" from="0,133.1pt" to="166.1pt,133.1pt" w14:anchorId="5A9EE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">
                <v:stroke joinstyle="miter"/>
              </v:line>
            </w:pict>
          </mc:Fallback>
        </mc:AlternateContent>
      </w:r>
      <w:r>
        <w:rPr>
          <w:noProof/>
        </w:rPr>
        <mc:AlternateContent>
          <mc:Choice Requires="wps">
            <w:drawing>
              <wp:anchor distT="0" distB="0" distL="114300" distR="114300" simplePos="0" relativeHeight="251658245" behindDoc="0" locked="0" layoutInCell="1" allowOverlap="1" wp14:anchorId="6CFAB414" wp14:editId="01AE0357">
                <wp:simplePos x="0" y="0"/>
                <wp:positionH relativeFrom="column">
                  <wp:posOffset>0</wp:posOffset>
                </wp:positionH>
                <wp:positionV relativeFrom="paragraph">
                  <wp:posOffset>5043334</wp:posOffset>
                </wp:positionV>
                <wp:extent cx="2109470" cy="0"/>
                <wp:effectExtent l="0" t="0" r="11430" b="12700"/>
                <wp:wrapNone/>
                <wp:docPr id="559381160" name="Straight Connector 1"/>
                <wp:cNvGraphicFramePr/>
                <a:graphic xmlns:a="http://schemas.openxmlformats.org/drawingml/2006/main">
                  <a:graphicData uri="http://schemas.microsoft.com/office/word/2010/wordprocessingShape">
                    <wps:wsp>
                      <wps:cNvCnPr/>
                      <wps:spPr>
                        <a:xfrm>
                          <a:off x="0" y="0"/>
                          <a:ext cx="2109470" cy="0"/>
                        </a:xfrm>
                        <a:prstGeom prst="line">
                          <a:avLst/>
                        </a:prstGeom>
                        <a:ln w="12700">
                          <a:solidFill>
                            <a:srgbClr val="1C34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6="http://schemas.microsoft.com/office/drawing/2014/main" xmlns:c="http://schemas.openxmlformats.org/drawingml/2006/chart" xmlns:a14="http://schemas.microsoft.com/office/drawing/2010/main" xmlns:pic="http://schemas.openxmlformats.org/drawingml/2006/picture" xmlns:a="http://schemas.openxmlformats.org/drawingml/2006/main" xmlns:arto="http://schemas.microsoft.com/office/word/2006/arto">
            <w:pict w14:anchorId="337A54F5">
              <v:line id="Straight Connector 1"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c3453" strokeweight="1pt" from="0,397.1pt" to="166.1pt,397.1pt" w14:anchorId="45F19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">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298EC96F" wp14:editId="5F83E361">
                <wp:simplePos x="0" y="0"/>
                <wp:positionH relativeFrom="column">
                  <wp:posOffset>0</wp:posOffset>
                </wp:positionH>
                <wp:positionV relativeFrom="paragraph">
                  <wp:posOffset>5149051</wp:posOffset>
                </wp:positionV>
                <wp:extent cx="5849620" cy="813435"/>
                <wp:effectExtent l="0" t="0" r="5080" b="0"/>
                <wp:wrapNone/>
                <wp:docPr id="1896334250" name="Text Box 1"/>
                <wp:cNvGraphicFramePr/>
                <a:graphic xmlns:a="http://schemas.openxmlformats.org/drawingml/2006/main">
                  <a:graphicData uri="http://schemas.microsoft.com/office/word/2010/wordprocessingShape">
                    <wps:wsp>
                      <wps:cNvSpPr txBox="1"/>
                      <wps:spPr>
                        <a:xfrm>
                          <a:off x="0" y="0"/>
                          <a:ext cx="5849620" cy="813435"/>
                        </a:xfrm>
                        <a:prstGeom prst="rect">
                          <a:avLst/>
                        </a:prstGeom>
                        <a:noFill/>
                        <a:ln w="6350">
                          <a:noFill/>
                        </a:ln>
                      </wps:spPr>
                      <wps:txbx>
                        <w:txbxContent>
                          <w:p w14:paraId="4633B023" w14:textId="77777777" w:rsidR="00BB7D83" w:rsidRPr="00D86EBE" w:rsidRDefault="00BB7D83" w:rsidP="00D83701">
                            <w:pPr>
                              <w:pStyle w:val="CoverPageSOFF"/>
                              <w:rPr>
                                <w:b/>
                                <w:bCs/>
                              </w:rPr>
                            </w:pPr>
                            <w:r w:rsidRPr="00D86EBE">
                              <w:t xml:space="preserve">Systematic Observations </w:t>
                            </w:r>
                            <w:r w:rsidRPr="00D86EBE">
                              <w:br/>
                              <w:t>Financing Facility</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EC96F" id="_x0000_t202" coordsize="21600,21600" o:spt="202" path="m,l,21600r21600,l21600,xe">
                <v:stroke joinstyle="miter"/>
                <v:path gradientshapeok="t" o:connecttype="rect"/>
              </v:shapetype>
              <v:shape id="_x0000_s1027" type="#_x0000_t202" style="position:absolute;margin-left:0;margin-top:405.45pt;width:460.6pt;height:6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" filled="f" stroked="f" strokeweight=".5pt">
                <v:textbox inset="0,0,0">
                  <w:txbxContent>
                    <w:p w14:paraId="4633B023" w14:textId="77777777" w:rsidR="00BB7D83" w:rsidRPr="00D86EBE" w:rsidRDefault="00BB7D83" w:rsidP="00D83701">
                      <w:pPr>
                        <w:pStyle w:val="CoverPageSOFF"/>
                        <w:rPr>
                          <w:b/>
                          <w:bCs/>
                        </w:rPr>
                      </w:pPr>
                      <w:r w:rsidRPr="00D86EBE">
                        <w:t xml:space="preserve">Systematic Observations </w:t>
                      </w:r>
                      <w:r w:rsidRPr="00D86EBE">
                        <w:br/>
                        <w:t>Financing Facility</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03D520F" wp14:editId="394E609B">
                <wp:simplePos x="0" y="0"/>
                <wp:positionH relativeFrom="column">
                  <wp:posOffset>0</wp:posOffset>
                </wp:positionH>
                <wp:positionV relativeFrom="paragraph">
                  <wp:posOffset>812744</wp:posOffset>
                </wp:positionV>
                <wp:extent cx="5849620" cy="813435"/>
                <wp:effectExtent l="0" t="0" r="5080" b="0"/>
                <wp:wrapNone/>
                <wp:docPr id="1323007151" name="Text Box 1"/>
                <wp:cNvGraphicFramePr/>
                <a:graphic xmlns:a="http://schemas.openxmlformats.org/drawingml/2006/main">
                  <a:graphicData uri="http://schemas.microsoft.com/office/word/2010/wordprocessingShape">
                    <wps:wsp>
                      <wps:cNvSpPr txBox="1"/>
                      <wps:spPr>
                        <a:xfrm>
                          <a:off x="0" y="0"/>
                          <a:ext cx="5849620" cy="813435"/>
                        </a:xfrm>
                        <a:prstGeom prst="rect">
                          <a:avLst/>
                        </a:prstGeom>
                        <a:noFill/>
                        <a:ln w="6350">
                          <a:noFill/>
                        </a:ln>
                      </wps:spPr>
                      <wps:txbx>
                        <w:txbxContent>
                          <w:p w14:paraId="4D0E2AC0" w14:textId="205FC794" w:rsidR="00BB7D83" w:rsidRPr="00266DAD" w:rsidRDefault="007B1F84" w:rsidP="00BB7D83">
                            <w:pPr>
                              <w:spacing w:after="0"/>
                              <w:rPr>
                                <w:rFonts w:cs="Segoe UI"/>
                                <w:b/>
                                <w:bCs/>
                                <w:color w:val="1C3453"/>
                                <w:sz w:val="40"/>
                                <w:szCs w:val="40"/>
                              </w:rPr>
                            </w:pPr>
                            <w:r>
                              <w:rPr>
                                <w:rFonts w:cs="Segoe UI" w:hint="eastAsia"/>
                                <w:b/>
                                <w:bCs/>
                                <w:color w:val="1C3453"/>
                                <w:sz w:val="40"/>
                                <w:szCs w:val="40"/>
                                <w:lang w:eastAsia="ko-KR"/>
                              </w:rPr>
                              <w:t>Twelfth</w:t>
                            </w:r>
                            <w:r w:rsidR="00BB7D83" w:rsidRPr="00266DAD">
                              <w:rPr>
                                <w:rFonts w:cs="Segoe UI"/>
                                <w:b/>
                                <w:bCs/>
                                <w:color w:val="1C3453"/>
                                <w:sz w:val="40"/>
                                <w:szCs w:val="40"/>
                              </w:rPr>
                              <w:t xml:space="preserve"> Steering Committee</w:t>
                            </w:r>
                          </w:p>
                          <w:p w14:paraId="00F4F2B9" w14:textId="5E026B50" w:rsidR="00BB7D83" w:rsidRPr="00266DAD" w:rsidRDefault="007B1F84" w:rsidP="00BB7D83">
                            <w:pPr>
                              <w:spacing w:after="0"/>
                              <w:rPr>
                                <w:rFonts w:cs="Segoe UI"/>
                                <w:b/>
                                <w:bCs/>
                                <w:color w:val="1C3453"/>
                                <w:sz w:val="40"/>
                                <w:szCs w:val="40"/>
                              </w:rPr>
                            </w:pPr>
                            <w:r>
                              <w:rPr>
                                <w:rFonts w:cs="Segoe UI" w:hint="eastAsia"/>
                                <w:b/>
                                <w:bCs/>
                                <w:color w:val="1C3453"/>
                                <w:sz w:val="40"/>
                                <w:szCs w:val="40"/>
                                <w:lang w:eastAsia="ko-KR"/>
                              </w:rPr>
                              <w:t>2</w:t>
                            </w:r>
                            <w:r w:rsidR="00CC3F8C">
                              <w:rPr>
                                <w:rFonts w:cs="Segoe UI"/>
                                <w:b/>
                                <w:bCs/>
                                <w:color w:val="1C3453"/>
                                <w:sz w:val="40"/>
                                <w:szCs w:val="40"/>
                                <w:lang w:eastAsia="ko-KR"/>
                              </w:rPr>
                              <w:t>9</w:t>
                            </w:r>
                            <w:r w:rsidR="00326352">
                              <w:rPr>
                                <w:rFonts w:cs="Segoe UI"/>
                                <w:b/>
                                <w:bCs/>
                                <w:color w:val="1C3453"/>
                                <w:sz w:val="40"/>
                                <w:szCs w:val="40"/>
                              </w:rPr>
                              <w:t xml:space="preserve"> </w:t>
                            </w:r>
                            <w:r>
                              <w:rPr>
                                <w:rFonts w:cs="Segoe UI" w:hint="eastAsia"/>
                                <w:b/>
                                <w:bCs/>
                                <w:color w:val="1C3453"/>
                                <w:sz w:val="40"/>
                                <w:szCs w:val="40"/>
                                <w:lang w:eastAsia="ko-KR"/>
                              </w:rPr>
                              <w:t>October</w:t>
                            </w:r>
                            <w:r w:rsidR="00326352">
                              <w:rPr>
                                <w:rFonts w:cs="Segoe UI"/>
                                <w:b/>
                                <w:bCs/>
                                <w:color w:val="1C3453"/>
                                <w:sz w:val="40"/>
                                <w:szCs w:val="40"/>
                              </w:rPr>
                              <w:t xml:space="preserve">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D520F" id="_x0000_s1028" type="#_x0000_t202" style="position:absolute;margin-left:0;margin-top:64pt;width:460.6pt;height:6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" filled="f" stroked="f" strokeweight=".5pt">
                <v:textbox inset="0,0,0,0">
                  <w:txbxContent>
                    <w:p w14:paraId="4D0E2AC0" w14:textId="205FC794" w:rsidR="00BB7D83" w:rsidRPr="00266DAD" w:rsidRDefault="007B1F84" w:rsidP="00BB7D83">
                      <w:pPr>
                        <w:spacing w:after="0"/>
                        <w:rPr>
                          <w:rFonts w:cs="Segoe UI"/>
                          <w:b/>
                          <w:bCs/>
                          <w:color w:val="1C3453"/>
                          <w:sz w:val="40"/>
                          <w:szCs w:val="40"/>
                        </w:rPr>
                      </w:pPr>
                      <w:r>
                        <w:rPr>
                          <w:rFonts w:cs="Segoe UI" w:hint="eastAsia"/>
                          <w:b/>
                          <w:bCs/>
                          <w:color w:val="1C3453"/>
                          <w:sz w:val="40"/>
                          <w:szCs w:val="40"/>
                          <w:lang w:eastAsia="ko-KR"/>
                        </w:rPr>
                        <w:t>Twelfth</w:t>
                      </w:r>
                      <w:r w:rsidR="00BB7D83" w:rsidRPr="00266DAD">
                        <w:rPr>
                          <w:rFonts w:cs="Segoe UI"/>
                          <w:b/>
                          <w:bCs/>
                          <w:color w:val="1C3453"/>
                          <w:sz w:val="40"/>
                          <w:szCs w:val="40"/>
                        </w:rPr>
                        <w:t xml:space="preserve"> Steering Committee</w:t>
                      </w:r>
                    </w:p>
                    <w:p w14:paraId="00F4F2B9" w14:textId="5E026B50" w:rsidR="00BB7D83" w:rsidRPr="00266DAD" w:rsidRDefault="007B1F84" w:rsidP="00BB7D83">
                      <w:pPr>
                        <w:spacing w:after="0"/>
                        <w:rPr>
                          <w:rFonts w:cs="Segoe UI"/>
                          <w:b/>
                          <w:bCs/>
                          <w:color w:val="1C3453"/>
                          <w:sz w:val="40"/>
                          <w:szCs w:val="40"/>
                        </w:rPr>
                      </w:pPr>
                      <w:r>
                        <w:rPr>
                          <w:rFonts w:cs="Segoe UI" w:hint="eastAsia"/>
                          <w:b/>
                          <w:bCs/>
                          <w:color w:val="1C3453"/>
                          <w:sz w:val="40"/>
                          <w:szCs w:val="40"/>
                          <w:lang w:eastAsia="ko-KR"/>
                        </w:rPr>
                        <w:t>2</w:t>
                      </w:r>
                      <w:r w:rsidR="00CC3F8C">
                        <w:rPr>
                          <w:rFonts w:cs="Segoe UI"/>
                          <w:b/>
                          <w:bCs/>
                          <w:color w:val="1C3453"/>
                          <w:sz w:val="40"/>
                          <w:szCs w:val="40"/>
                          <w:lang w:eastAsia="ko-KR"/>
                        </w:rPr>
                        <w:t>9</w:t>
                      </w:r>
                      <w:r w:rsidR="00326352">
                        <w:rPr>
                          <w:rFonts w:cs="Segoe UI"/>
                          <w:b/>
                          <w:bCs/>
                          <w:color w:val="1C3453"/>
                          <w:sz w:val="40"/>
                          <w:szCs w:val="40"/>
                        </w:rPr>
                        <w:t xml:space="preserve"> </w:t>
                      </w:r>
                      <w:r>
                        <w:rPr>
                          <w:rFonts w:cs="Segoe UI" w:hint="eastAsia"/>
                          <w:b/>
                          <w:bCs/>
                          <w:color w:val="1C3453"/>
                          <w:sz w:val="40"/>
                          <w:szCs w:val="40"/>
                          <w:lang w:eastAsia="ko-KR"/>
                        </w:rPr>
                        <w:t>October</w:t>
                      </w:r>
                      <w:r w:rsidR="00326352">
                        <w:rPr>
                          <w:rFonts w:cs="Segoe UI"/>
                          <w:b/>
                          <w:bCs/>
                          <w:color w:val="1C3453"/>
                          <w:sz w:val="40"/>
                          <w:szCs w:val="40"/>
                        </w:rPr>
                        <w:t xml:space="preserve"> 2025</w:t>
                      </w:r>
                    </w:p>
                  </w:txbxContent>
                </v:textbox>
              </v:shape>
            </w:pict>
          </mc:Fallback>
        </mc:AlternateContent>
      </w:r>
      <w:r w:rsidR="00BB7D83" w:rsidRPr="003E0763">
        <w:rPr>
          <w:noProof/>
        </w:rPr>
        <w:drawing>
          <wp:anchor distT="0" distB="0" distL="114300" distR="114300" simplePos="0" relativeHeight="251658240" behindDoc="1" locked="1" layoutInCell="0" allowOverlap="1" wp14:anchorId="6DE0A95C" wp14:editId="6843F38D">
            <wp:simplePos x="0" y="0"/>
            <wp:positionH relativeFrom="page">
              <wp:posOffset>6350</wp:posOffset>
            </wp:positionH>
            <wp:positionV relativeFrom="page">
              <wp:posOffset>-245110</wp:posOffset>
            </wp:positionV>
            <wp:extent cx="7732395" cy="10932795"/>
            <wp:effectExtent l="0" t="0" r="1905" b="1905"/>
            <wp:wrapNone/>
            <wp:docPr id="12" name="Picture 12" descr="A close-up of a blue and white background&#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close-up of a blue and white background&#10;&#10;Description automatically generated with medium confidence"/>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32395" cy="1093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EEA">
        <w:br w:type="page"/>
      </w:r>
    </w:p>
    <w:p w14:paraId="432E3901" w14:textId="77777777" w:rsidR="00F94747" w:rsidRDefault="00F94747" w:rsidP="00B32D4E">
      <w:pPr>
        <w:pStyle w:val="DecisionHeading"/>
        <w:pBdr>
          <w:top w:val="single" w:sz="4" w:space="1" w:color="auto"/>
          <w:left w:val="single" w:sz="4" w:space="1" w:color="auto"/>
          <w:bottom w:val="single" w:sz="4" w:space="1" w:color="auto"/>
          <w:right w:val="single" w:sz="4" w:space="1" w:color="auto"/>
        </w:pBdr>
        <w:sectPr w:rsidR="00F94747" w:rsidSect="00690701">
          <w:headerReference w:type="default" r:id="rId14"/>
          <w:pgSz w:w="11906" w:h="16838"/>
          <w:pgMar w:top="1440" w:right="1440" w:bottom="1440" w:left="1440" w:header="1418" w:footer="709" w:gutter="0"/>
          <w:cols w:space="708"/>
          <w:titlePg/>
          <w:docGrid w:linePitch="360"/>
        </w:sectPr>
      </w:pPr>
    </w:p>
    <w:p w14:paraId="025A8990" w14:textId="77777777" w:rsidR="00CE7426" w:rsidRDefault="00CE7426" w:rsidP="00F11C70">
      <w:pPr>
        <w:pStyle w:val="DecisionHeading"/>
        <w:pBdr>
          <w:top w:val="single" w:sz="4" w:space="0" w:color="auto"/>
          <w:left w:val="single" w:sz="4" w:space="1" w:color="auto"/>
          <w:bottom w:val="single" w:sz="4" w:space="1" w:color="auto"/>
          <w:right w:val="single" w:sz="4" w:space="1" w:color="auto"/>
        </w:pBdr>
        <w:sectPr w:rsidR="00CE7426" w:rsidSect="00CE7426">
          <w:headerReference w:type="first" r:id="rId15"/>
          <w:type w:val="continuous"/>
          <w:pgSz w:w="11906" w:h="16838"/>
          <w:pgMar w:top="1440" w:right="1440" w:bottom="1440" w:left="1440" w:header="1418" w:footer="709" w:gutter="0"/>
          <w:cols w:space="708"/>
          <w:docGrid w:linePitch="360"/>
        </w:sectPr>
      </w:pPr>
    </w:p>
    <w:p w14:paraId="3998B7D5" w14:textId="77777777" w:rsidR="00772870" w:rsidRDefault="00772870" w:rsidP="00F11C70">
      <w:pPr>
        <w:pStyle w:val="DecisionHeading"/>
        <w:pBdr>
          <w:top w:val="single" w:sz="4" w:space="0" w:color="auto"/>
          <w:left w:val="single" w:sz="4" w:space="1" w:color="auto"/>
          <w:bottom w:val="single" w:sz="4" w:space="1" w:color="auto"/>
          <w:right w:val="single" w:sz="4" w:space="1" w:color="auto"/>
        </w:pBdr>
        <w:sectPr w:rsidR="00772870" w:rsidSect="00F94747">
          <w:type w:val="continuous"/>
          <w:pgSz w:w="11906" w:h="16838"/>
          <w:pgMar w:top="1440" w:right="1440" w:bottom="1440" w:left="1440" w:header="1418" w:footer="709" w:gutter="0"/>
          <w:cols w:space="708"/>
          <w:titlePg/>
          <w:docGrid w:linePitch="360"/>
        </w:sectPr>
      </w:pPr>
    </w:p>
    <w:p w14:paraId="3964E37B" w14:textId="5D5A52B3" w:rsidR="00B32D4E" w:rsidRDefault="00B32D4E" w:rsidP="00F11C70">
      <w:pPr>
        <w:pStyle w:val="DecisionHeading"/>
        <w:pBdr>
          <w:top w:val="single" w:sz="4" w:space="0" w:color="auto"/>
          <w:left w:val="single" w:sz="4" w:space="1" w:color="auto"/>
          <w:bottom w:val="single" w:sz="4" w:space="1" w:color="auto"/>
          <w:right w:val="single" w:sz="4" w:space="1" w:color="auto"/>
        </w:pBdr>
      </w:pPr>
      <w:r>
        <w:t>Purpose of this Document</w:t>
      </w:r>
    </w:p>
    <w:p w14:paraId="4786F631" w14:textId="77777777" w:rsidR="00335ED2" w:rsidRDefault="00335ED2" w:rsidP="00F11C70">
      <w:pPr>
        <w:pStyle w:val="DecisionHeading"/>
        <w:pBdr>
          <w:top w:val="single" w:sz="4" w:space="0" w:color="auto"/>
          <w:left w:val="single" w:sz="4" w:space="1" w:color="auto"/>
          <w:bottom w:val="single" w:sz="4" w:space="1" w:color="auto"/>
          <w:right w:val="single" w:sz="4" w:space="1" w:color="auto"/>
        </w:pBdr>
      </w:pPr>
    </w:p>
    <w:p w14:paraId="3E4E7589" w14:textId="77777777" w:rsidR="00D50DB0" w:rsidRDefault="00D50DB0" w:rsidP="00D50DB0">
      <w:pPr>
        <w:pBdr>
          <w:top w:val="single" w:sz="4" w:space="0" w:color="auto"/>
          <w:left w:val="single" w:sz="4" w:space="1" w:color="auto"/>
          <w:bottom w:val="single" w:sz="4" w:space="1" w:color="auto"/>
          <w:right w:val="single" w:sz="4" w:space="1" w:color="auto"/>
        </w:pBdr>
        <w:rPr>
          <w:lang w:val="en-US"/>
        </w:rPr>
      </w:pPr>
      <w:r w:rsidRPr="00D50DB0">
        <w:rPr>
          <w:lang w:val="en-US"/>
        </w:rPr>
        <w:t xml:space="preserve">This document reports on the implementation of SOFF Investments across the Readiness and Investment Phases as of 30 September 2025. </w:t>
      </w:r>
    </w:p>
    <w:p w14:paraId="3C9EA4F6" w14:textId="7D7249AD" w:rsidR="00D50DB0" w:rsidRPr="00D50DB0" w:rsidRDefault="00D50DB0" w:rsidP="00D50DB0">
      <w:pPr>
        <w:pBdr>
          <w:top w:val="single" w:sz="4" w:space="0" w:color="auto"/>
          <w:left w:val="single" w:sz="4" w:space="1" w:color="auto"/>
          <w:bottom w:val="single" w:sz="4" w:space="1" w:color="auto"/>
          <w:right w:val="single" w:sz="4" w:space="1" w:color="auto"/>
        </w:pBdr>
        <w:rPr>
          <w:lang w:val="en-US"/>
        </w:rPr>
      </w:pPr>
      <w:r w:rsidRPr="00D50DB0">
        <w:rPr>
          <w:lang w:val="en-US"/>
        </w:rPr>
        <w:t>Since the first programming decision in November 2022, </w:t>
      </w:r>
      <w:r w:rsidRPr="112580C2">
        <w:rPr>
          <w:lang w:val="en-US"/>
        </w:rPr>
        <w:t>66 countries</w:t>
      </w:r>
      <w:r w:rsidRPr="00D50DB0">
        <w:rPr>
          <w:lang w:val="en-US"/>
        </w:rPr>
        <w:t> have been programmed for Readiness support. Of the </w:t>
      </w:r>
      <w:r w:rsidRPr="112580C2">
        <w:rPr>
          <w:lang w:val="en-US"/>
        </w:rPr>
        <w:t>61</w:t>
      </w:r>
      <w:r w:rsidR="00FE6EE9">
        <w:rPr>
          <w:lang w:val="en-US"/>
        </w:rPr>
        <w:t xml:space="preserve"> </w:t>
      </w:r>
      <w:r w:rsidRPr="112580C2">
        <w:rPr>
          <w:lang w:val="en-US"/>
        </w:rPr>
        <w:t>countries</w:t>
      </w:r>
      <w:r w:rsidRPr="00D50DB0">
        <w:rPr>
          <w:lang w:val="en-US"/>
        </w:rPr>
        <w:t> with approved Readiness funding, </w:t>
      </w:r>
      <w:r w:rsidRPr="112580C2">
        <w:rPr>
          <w:lang w:val="en-US"/>
        </w:rPr>
        <w:t>43 have already completed</w:t>
      </w:r>
      <w:r w:rsidRPr="00D50DB0">
        <w:rPr>
          <w:lang w:val="en-US"/>
        </w:rPr>
        <w:t xml:space="preserve"> the </w:t>
      </w:r>
      <w:r w:rsidR="00FE6EE9">
        <w:rPr>
          <w:lang w:val="en-US"/>
        </w:rPr>
        <w:t xml:space="preserve">Readiness </w:t>
      </w:r>
      <w:r w:rsidRPr="00D50DB0">
        <w:rPr>
          <w:lang w:val="en-US"/>
        </w:rPr>
        <w:t>Phase.</w:t>
      </w:r>
    </w:p>
    <w:p w14:paraId="2D2B46DD" w14:textId="201F2D77" w:rsidR="00D50DB0" w:rsidRPr="00D50DB0" w:rsidRDefault="00D50DB0" w:rsidP="00D50DB0">
      <w:pPr>
        <w:pBdr>
          <w:top w:val="single" w:sz="4" w:space="0" w:color="auto"/>
          <w:left w:val="single" w:sz="4" w:space="1" w:color="auto"/>
          <w:bottom w:val="single" w:sz="4" w:space="1" w:color="auto"/>
          <w:right w:val="single" w:sz="4" w:space="1" w:color="auto"/>
        </w:pBdr>
        <w:rPr>
          <w:lang w:val="en-US"/>
        </w:rPr>
      </w:pPr>
      <w:r w:rsidRPr="00D50DB0">
        <w:rPr>
          <w:lang w:val="en-US"/>
        </w:rPr>
        <w:t>Progress has also advanced in the Investment Phase. To date, </w:t>
      </w:r>
      <w:r w:rsidRPr="112580C2">
        <w:rPr>
          <w:lang w:val="en-US"/>
        </w:rPr>
        <w:t>15 countries</w:t>
      </w:r>
      <w:r w:rsidRPr="00D50DB0">
        <w:rPr>
          <w:lang w:val="en-US"/>
        </w:rPr>
        <w:t> have approved funding requests, three (Samoa, Nauru and Malawi) hold conditional approvals, and six (Zambia, Cuba, Bangladesh, Guyana, Democratic Republic of the Congo and São Tomé and Príncipe) are in the pipeline.</w:t>
      </w:r>
      <w:r w:rsidR="09B6BE1E" w:rsidRPr="112580C2">
        <w:rPr>
          <w:lang w:val="en-US"/>
        </w:rPr>
        <w:t xml:space="preserve"> Rwanda and Mozambique</w:t>
      </w:r>
      <w:r w:rsidR="32E0FE8C" w:rsidRPr="112580C2">
        <w:rPr>
          <w:lang w:val="en-US"/>
        </w:rPr>
        <w:t xml:space="preserve"> are</w:t>
      </w:r>
      <w:r w:rsidR="09B6BE1E" w:rsidRPr="112580C2">
        <w:rPr>
          <w:lang w:val="en-US"/>
        </w:rPr>
        <w:t xml:space="preserve"> the first countries </w:t>
      </w:r>
      <w:r w:rsidR="406548CF" w:rsidRPr="112580C2">
        <w:rPr>
          <w:lang w:val="en-US"/>
        </w:rPr>
        <w:t xml:space="preserve">that have started to </w:t>
      </w:r>
      <w:r w:rsidR="09B6BE1E" w:rsidRPr="112580C2">
        <w:rPr>
          <w:lang w:val="en-US"/>
        </w:rPr>
        <w:t>share new GBON data.</w:t>
      </w:r>
    </w:p>
    <w:p w14:paraId="0037B4CD" w14:textId="51F434D8" w:rsidR="00D50DB0" w:rsidRPr="00D50DB0" w:rsidRDefault="00D50DB0" w:rsidP="00F11C70">
      <w:pPr>
        <w:pBdr>
          <w:top w:val="single" w:sz="4" w:space="0" w:color="auto"/>
          <w:left w:val="single" w:sz="4" w:space="1" w:color="auto"/>
          <w:bottom w:val="single" w:sz="4" w:space="1" w:color="auto"/>
          <w:right w:val="single" w:sz="4" w:space="1" w:color="auto"/>
        </w:pBdr>
        <w:rPr>
          <w:lang w:val="en-US"/>
        </w:rPr>
      </w:pPr>
      <w:r w:rsidRPr="00D50DB0">
        <w:rPr>
          <w:lang w:val="en-US"/>
        </w:rPr>
        <w:t xml:space="preserve">The document also highlights lessons emerging from the first round of 2025 Investment Phase annual reporting. Further details are available on the </w:t>
      </w:r>
      <w:hyperlink r:id="rId16">
        <w:r w:rsidR="00B32D4E" w:rsidRPr="136CEBE6">
          <w:rPr>
            <w:rStyle w:val="Hyperlink"/>
          </w:rPr>
          <w:t>SOFF dashboard</w:t>
        </w:r>
      </w:hyperlink>
      <w:r w:rsidRPr="00D50DB0">
        <w:rPr>
          <w:lang w:val="en-US"/>
        </w:rPr>
        <w:t xml:space="preserve"> and in the annexes.</w:t>
      </w:r>
    </w:p>
    <w:p w14:paraId="427033D8" w14:textId="57904F8A" w:rsidR="00C10EEA" w:rsidRPr="00F30EC6" w:rsidRDefault="00B32D4E" w:rsidP="00F30EC6">
      <w:pPr>
        <w:spacing w:after="0" w:line="240" w:lineRule="auto"/>
        <w:jc w:val="left"/>
        <w:rPr>
          <w:b/>
          <w:color w:val="185980"/>
          <w:sz w:val="36"/>
        </w:rPr>
      </w:pPr>
      <w:r>
        <w:br w:type="page"/>
      </w:r>
    </w:p>
    <w:p w14:paraId="7C45914A" w14:textId="77777777" w:rsidR="00D00C6F" w:rsidRDefault="00D00C6F" w:rsidP="00D00C6F">
      <w:pPr>
        <w:pStyle w:val="TableofContentsHeading"/>
      </w:pPr>
      <w:r>
        <w:lastRenderedPageBreak/>
        <w:t>Table of contents</w:t>
      </w:r>
    </w:p>
    <w:p w14:paraId="511D3C29" w14:textId="5EB9BD61" w:rsidR="00E65009" w:rsidRDefault="00E65009" w:rsidP="06553CDB">
      <w:pPr>
        <w:pStyle w:val="TOC1"/>
        <w:tabs>
          <w:tab w:val="left" w:pos="435"/>
          <w:tab w:val="right" w:leader="dot" w:pos="9015"/>
        </w:tabs>
        <w:rPr>
          <w:rFonts w:asciiTheme="minorHAnsi" w:eastAsiaTheme="minorEastAsia" w:hAnsiTheme="minorHAnsi"/>
          <w:noProof/>
          <w:sz w:val="24"/>
        </w:rPr>
      </w:pPr>
      <w:r>
        <w:fldChar w:fldCharType="begin"/>
      </w:r>
      <w:r w:rsidR="00D00C6F">
        <w:instrText>TOC \o "1-2" \z \u \h</w:instrText>
      </w:r>
      <w:r>
        <w:fldChar w:fldCharType="separate"/>
      </w:r>
      <w:hyperlink w:anchor="_Toc1772026527">
        <w:r w:rsidR="06553CDB" w:rsidRPr="06553CDB">
          <w:rPr>
            <w:rStyle w:val="Hyperlink"/>
          </w:rPr>
          <w:t>1.</w:t>
        </w:r>
        <w:r w:rsidR="00D00C6F">
          <w:tab/>
        </w:r>
        <w:r w:rsidR="06553CDB" w:rsidRPr="06553CDB">
          <w:rPr>
            <w:rStyle w:val="Hyperlink"/>
          </w:rPr>
          <w:t>SOFF operations overview</w:t>
        </w:r>
        <w:r w:rsidR="00D00C6F">
          <w:tab/>
        </w:r>
        <w:r w:rsidR="00D00C6F">
          <w:fldChar w:fldCharType="begin"/>
        </w:r>
        <w:r w:rsidR="00D00C6F">
          <w:instrText>PAGEREF _Toc1772026527 \h</w:instrText>
        </w:r>
        <w:r w:rsidR="00D00C6F">
          <w:fldChar w:fldCharType="separate"/>
        </w:r>
        <w:r w:rsidR="06553CDB" w:rsidRPr="06553CDB">
          <w:rPr>
            <w:rStyle w:val="Hyperlink"/>
          </w:rPr>
          <w:t>4</w:t>
        </w:r>
        <w:r w:rsidR="00D00C6F">
          <w:fldChar w:fldCharType="end"/>
        </w:r>
      </w:hyperlink>
    </w:p>
    <w:p w14:paraId="6999BE98" w14:textId="13782097" w:rsidR="00E65009" w:rsidRDefault="06553CDB" w:rsidP="06553CDB">
      <w:pPr>
        <w:pStyle w:val="TOC2"/>
        <w:tabs>
          <w:tab w:val="right" w:leader="dot" w:pos="9015"/>
        </w:tabs>
        <w:rPr>
          <w:rFonts w:asciiTheme="minorHAnsi" w:eastAsiaTheme="minorEastAsia" w:hAnsiTheme="minorHAnsi"/>
          <w:noProof/>
          <w:sz w:val="24"/>
        </w:rPr>
      </w:pPr>
      <w:hyperlink w:anchor="_Toc1010027439">
        <w:r w:rsidRPr="06553CDB">
          <w:rPr>
            <w:rStyle w:val="Hyperlink"/>
          </w:rPr>
          <w:t>1.1. Evolution of SOFF portfolio</w:t>
        </w:r>
        <w:r w:rsidR="00E65009">
          <w:tab/>
        </w:r>
        <w:r w:rsidR="00E65009">
          <w:fldChar w:fldCharType="begin"/>
        </w:r>
        <w:r w:rsidR="00E65009">
          <w:instrText>PAGEREF _Toc1010027439 \h</w:instrText>
        </w:r>
        <w:r w:rsidR="00E65009">
          <w:fldChar w:fldCharType="separate"/>
        </w:r>
        <w:r w:rsidRPr="06553CDB">
          <w:rPr>
            <w:rStyle w:val="Hyperlink"/>
          </w:rPr>
          <w:t>4</w:t>
        </w:r>
        <w:r w:rsidR="00E65009">
          <w:fldChar w:fldCharType="end"/>
        </w:r>
      </w:hyperlink>
    </w:p>
    <w:p w14:paraId="4A31B4EB" w14:textId="4786A1D6" w:rsidR="00E65009" w:rsidRDefault="06553CDB" w:rsidP="06553CDB">
      <w:pPr>
        <w:pStyle w:val="TOC1"/>
        <w:tabs>
          <w:tab w:val="left" w:pos="435"/>
          <w:tab w:val="right" w:leader="dot" w:pos="9015"/>
        </w:tabs>
        <w:rPr>
          <w:rFonts w:asciiTheme="minorHAnsi" w:eastAsiaTheme="minorEastAsia" w:hAnsiTheme="minorHAnsi"/>
          <w:noProof/>
          <w:sz w:val="24"/>
        </w:rPr>
      </w:pPr>
      <w:hyperlink w:anchor="_Toc1363375403">
        <w:r w:rsidRPr="06553CDB">
          <w:rPr>
            <w:rStyle w:val="Hyperlink"/>
          </w:rPr>
          <w:t>2.</w:t>
        </w:r>
        <w:r w:rsidR="00E65009">
          <w:tab/>
        </w:r>
        <w:r w:rsidRPr="06553CDB">
          <w:rPr>
            <w:rStyle w:val="Hyperlink"/>
          </w:rPr>
          <w:t>SOFF Readiness phase</w:t>
        </w:r>
        <w:r w:rsidR="00E65009">
          <w:tab/>
        </w:r>
        <w:r w:rsidR="00E65009">
          <w:fldChar w:fldCharType="begin"/>
        </w:r>
        <w:r w:rsidR="00E65009">
          <w:instrText>PAGEREF _Toc1363375403 \h</w:instrText>
        </w:r>
        <w:r w:rsidR="00E65009">
          <w:fldChar w:fldCharType="separate"/>
        </w:r>
        <w:r w:rsidRPr="06553CDB">
          <w:rPr>
            <w:rStyle w:val="Hyperlink"/>
          </w:rPr>
          <w:t>4</w:t>
        </w:r>
        <w:r w:rsidR="00E65009">
          <w:fldChar w:fldCharType="end"/>
        </w:r>
      </w:hyperlink>
    </w:p>
    <w:p w14:paraId="6FF68431" w14:textId="190AA97A" w:rsidR="00E65009" w:rsidRDefault="06553CDB" w:rsidP="06553CDB">
      <w:pPr>
        <w:pStyle w:val="TOC2"/>
        <w:tabs>
          <w:tab w:val="right" w:leader="dot" w:pos="9015"/>
        </w:tabs>
        <w:rPr>
          <w:rFonts w:asciiTheme="minorHAnsi" w:eastAsiaTheme="minorEastAsia" w:hAnsiTheme="minorHAnsi"/>
          <w:noProof/>
          <w:sz w:val="24"/>
        </w:rPr>
      </w:pPr>
      <w:hyperlink w:anchor="_Toc1892553341">
        <w:r w:rsidRPr="06553CDB">
          <w:rPr>
            <w:rStyle w:val="Hyperlink"/>
          </w:rPr>
          <w:t>2.1. Implementation progress</w:t>
        </w:r>
        <w:r w:rsidR="00E65009">
          <w:tab/>
        </w:r>
        <w:r w:rsidR="00E65009">
          <w:fldChar w:fldCharType="begin"/>
        </w:r>
        <w:r w:rsidR="00E65009">
          <w:instrText>PAGEREF _Toc1892553341 \h</w:instrText>
        </w:r>
        <w:r w:rsidR="00E65009">
          <w:fldChar w:fldCharType="separate"/>
        </w:r>
        <w:r w:rsidRPr="06553CDB">
          <w:rPr>
            <w:rStyle w:val="Hyperlink"/>
          </w:rPr>
          <w:t>4</w:t>
        </w:r>
        <w:r w:rsidR="00E65009">
          <w:fldChar w:fldCharType="end"/>
        </w:r>
      </w:hyperlink>
    </w:p>
    <w:p w14:paraId="5F3A506C" w14:textId="612EA029" w:rsidR="00E65009" w:rsidRDefault="06553CDB" w:rsidP="06553CDB">
      <w:pPr>
        <w:pStyle w:val="TOC1"/>
        <w:tabs>
          <w:tab w:val="left" w:pos="435"/>
          <w:tab w:val="right" w:leader="dot" w:pos="9015"/>
        </w:tabs>
        <w:rPr>
          <w:rFonts w:asciiTheme="minorHAnsi" w:eastAsiaTheme="minorEastAsia" w:hAnsiTheme="minorHAnsi"/>
          <w:noProof/>
          <w:sz w:val="24"/>
        </w:rPr>
      </w:pPr>
      <w:hyperlink w:anchor="_Toc1549599982">
        <w:r w:rsidRPr="06553CDB">
          <w:rPr>
            <w:rStyle w:val="Hyperlink"/>
          </w:rPr>
          <w:t>3.</w:t>
        </w:r>
        <w:r w:rsidR="00E65009">
          <w:tab/>
        </w:r>
        <w:r w:rsidRPr="06553CDB">
          <w:rPr>
            <w:rStyle w:val="Hyperlink"/>
          </w:rPr>
          <w:t>SOFF Investment phase</w:t>
        </w:r>
        <w:r w:rsidR="00E65009">
          <w:tab/>
        </w:r>
        <w:r w:rsidR="00E65009">
          <w:fldChar w:fldCharType="begin"/>
        </w:r>
        <w:r w:rsidR="00E65009">
          <w:instrText>PAGEREF _Toc1549599982 \h</w:instrText>
        </w:r>
        <w:r w:rsidR="00E65009">
          <w:fldChar w:fldCharType="separate"/>
        </w:r>
        <w:r w:rsidRPr="06553CDB">
          <w:rPr>
            <w:rStyle w:val="Hyperlink"/>
          </w:rPr>
          <w:t>5</w:t>
        </w:r>
        <w:r w:rsidR="00E65009">
          <w:fldChar w:fldCharType="end"/>
        </w:r>
      </w:hyperlink>
    </w:p>
    <w:p w14:paraId="5B2C2C8E" w14:textId="4393A24D" w:rsidR="00E65009" w:rsidRDefault="06553CDB" w:rsidP="06553CDB">
      <w:pPr>
        <w:pStyle w:val="TOC2"/>
        <w:tabs>
          <w:tab w:val="right" w:leader="dot" w:pos="9015"/>
        </w:tabs>
        <w:rPr>
          <w:rFonts w:asciiTheme="minorHAnsi" w:eastAsiaTheme="minorEastAsia" w:hAnsiTheme="minorHAnsi"/>
          <w:noProof/>
          <w:sz w:val="24"/>
        </w:rPr>
      </w:pPr>
      <w:hyperlink w:anchor="_Toc1956056002">
        <w:r w:rsidRPr="06553CDB">
          <w:rPr>
            <w:rStyle w:val="Hyperlink"/>
          </w:rPr>
          <w:t>3.1 Approvals and transfers</w:t>
        </w:r>
        <w:r w:rsidR="00E65009">
          <w:tab/>
        </w:r>
        <w:r w:rsidR="00E65009">
          <w:fldChar w:fldCharType="begin"/>
        </w:r>
        <w:r w:rsidR="00E65009">
          <w:instrText>PAGEREF _Toc1956056002 \h</w:instrText>
        </w:r>
        <w:r w:rsidR="00E65009">
          <w:fldChar w:fldCharType="separate"/>
        </w:r>
        <w:r w:rsidRPr="06553CDB">
          <w:rPr>
            <w:rStyle w:val="Hyperlink"/>
          </w:rPr>
          <w:t>5</w:t>
        </w:r>
        <w:r w:rsidR="00E65009">
          <w:fldChar w:fldCharType="end"/>
        </w:r>
      </w:hyperlink>
    </w:p>
    <w:p w14:paraId="48B61DF3" w14:textId="659AAE47" w:rsidR="00E65009" w:rsidRDefault="06553CDB" w:rsidP="06553CDB">
      <w:pPr>
        <w:pStyle w:val="TOC2"/>
        <w:tabs>
          <w:tab w:val="right" w:leader="dot" w:pos="9015"/>
        </w:tabs>
        <w:rPr>
          <w:rFonts w:asciiTheme="minorHAnsi" w:eastAsiaTheme="minorEastAsia" w:hAnsiTheme="minorHAnsi"/>
          <w:noProof/>
          <w:sz w:val="24"/>
        </w:rPr>
      </w:pPr>
      <w:hyperlink w:anchor="_Toc1454904513">
        <w:r w:rsidRPr="06553CDB">
          <w:rPr>
            <w:rStyle w:val="Hyperlink"/>
          </w:rPr>
          <w:t>3.2 Implementation progress</w:t>
        </w:r>
        <w:r w:rsidR="00E65009">
          <w:tab/>
        </w:r>
        <w:r w:rsidR="00E65009">
          <w:fldChar w:fldCharType="begin"/>
        </w:r>
        <w:r w:rsidR="00E65009">
          <w:instrText>PAGEREF _Toc1454904513 \h</w:instrText>
        </w:r>
        <w:r w:rsidR="00E65009">
          <w:fldChar w:fldCharType="separate"/>
        </w:r>
        <w:r w:rsidRPr="06553CDB">
          <w:rPr>
            <w:rStyle w:val="Hyperlink"/>
          </w:rPr>
          <w:t>6</w:t>
        </w:r>
        <w:r w:rsidR="00E65009">
          <w:fldChar w:fldCharType="end"/>
        </w:r>
      </w:hyperlink>
    </w:p>
    <w:p w14:paraId="0DA7CF5E" w14:textId="77A1CD33" w:rsidR="00E65009" w:rsidRDefault="06553CDB" w:rsidP="06553CDB">
      <w:pPr>
        <w:pStyle w:val="TOC2"/>
        <w:tabs>
          <w:tab w:val="right" w:leader="dot" w:pos="9015"/>
        </w:tabs>
        <w:rPr>
          <w:rFonts w:asciiTheme="minorHAnsi" w:eastAsiaTheme="minorEastAsia" w:hAnsiTheme="minorHAnsi"/>
          <w:noProof/>
          <w:sz w:val="24"/>
        </w:rPr>
      </w:pPr>
      <w:hyperlink w:anchor="_Toc824160555">
        <w:r w:rsidRPr="06553CDB">
          <w:rPr>
            <w:rStyle w:val="Hyperlink"/>
          </w:rPr>
          <w:t>3.3 Lessons learned</w:t>
        </w:r>
        <w:r w:rsidR="00E65009">
          <w:tab/>
        </w:r>
        <w:r w:rsidR="00E65009">
          <w:fldChar w:fldCharType="begin"/>
        </w:r>
        <w:r w:rsidR="00E65009">
          <w:instrText>PAGEREF _Toc824160555 \h</w:instrText>
        </w:r>
        <w:r w:rsidR="00E65009">
          <w:fldChar w:fldCharType="separate"/>
        </w:r>
        <w:r w:rsidRPr="06553CDB">
          <w:rPr>
            <w:rStyle w:val="Hyperlink"/>
          </w:rPr>
          <w:t>8</w:t>
        </w:r>
        <w:r w:rsidR="00E65009">
          <w:fldChar w:fldCharType="end"/>
        </w:r>
      </w:hyperlink>
    </w:p>
    <w:p w14:paraId="79CB05B0" w14:textId="19BAFCEE" w:rsidR="00E65009" w:rsidRDefault="06553CDB" w:rsidP="06553CDB">
      <w:pPr>
        <w:pStyle w:val="TOC2"/>
        <w:tabs>
          <w:tab w:val="right" w:leader="dot" w:pos="9015"/>
        </w:tabs>
        <w:rPr>
          <w:rFonts w:asciiTheme="minorHAnsi" w:eastAsiaTheme="minorEastAsia" w:hAnsiTheme="minorHAnsi"/>
          <w:noProof/>
          <w:sz w:val="24"/>
        </w:rPr>
      </w:pPr>
      <w:hyperlink w:anchor="_Toc838743900">
        <w:r w:rsidRPr="06553CDB">
          <w:rPr>
            <w:rStyle w:val="Hyperlink"/>
          </w:rPr>
          <w:t>3.4 Update on MDBs serving as SOFF Implementing Entities</w:t>
        </w:r>
        <w:r w:rsidR="00E65009">
          <w:tab/>
        </w:r>
        <w:r w:rsidR="00E65009">
          <w:fldChar w:fldCharType="begin"/>
        </w:r>
        <w:r w:rsidR="00E65009">
          <w:instrText>PAGEREF _Toc838743900 \h</w:instrText>
        </w:r>
        <w:r w:rsidR="00E65009">
          <w:fldChar w:fldCharType="separate"/>
        </w:r>
        <w:r w:rsidRPr="06553CDB">
          <w:rPr>
            <w:rStyle w:val="Hyperlink"/>
          </w:rPr>
          <w:t>9</w:t>
        </w:r>
        <w:r w:rsidR="00E65009">
          <w:fldChar w:fldCharType="end"/>
        </w:r>
      </w:hyperlink>
    </w:p>
    <w:p w14:paraId="7CA62825" w14:textId="17AB1B73" w:rsidR="00E65009" w:rsidRDefault="06553CDB" w:rsidP="06553CDB">
      <w:pPr>
        <w:pStyle w:val="TOC1"/>
        <w:tabs>
          <w:tab w:val="right" w:leader="dot" w:pos="9015"/>
        </w:tabs>
        <w:rPr>
          <w:rFonts w:asciiTheme="minorHAnsi" w:eastAsiaTheme="minorEastAsia" w:hAnsiTheme="minorHAnsi"/>
          <w:noProof/>
          <w:sz w:val="24"/>
        </w:rPr>
      </w:pPr>
      <w:hyperlink w:anchor="_Toc1674654497">
        <w:r w:rsidRPr="06553CDB">
          <w:rPr>
            <w:rStyle w:val="Hyperlink"/>
          </w:rPr>
          <w:t>4. SOFF Community of Practice</w:t>
        </w:r>
        <w:r w:rsidR="00E65009">
          <w:tab/>
        </w:r>
        <w:r w:rsidR="00E65009">
          <w:fldChar w:fldCharType="begin"/>
        </w:r>
        <w:r w:rsidR="00E65009">
          <w:instrText>PAGEREF _Toc1674654497 \h</w:instrText>
        </w:r>
        <w:r w:rsidR="00E65009">
          <w:fldChar w:fldCharType="separate"/>
        </w:r>
        <w:r w:rsidRPr="06553CDB">
          <w:rPr>
            <w:rStyle w:val="Hyperlink"/>
          </w:rPr>
          <w:t>10</w:t>
        </w:r>
        <w:r w:rsidR="00E65009">
          <w:fldChar w:fldCharType="end"/>
        </w:r>
      </w:hyperlink>
    </w:p>
    <w:p w14:paraId="0D5F1359" w14:textId="44544972" w:rsidR="00E65009" w:rsidRDefault="06553CDB" w:rsidP="06553CDB">
      <w:pPr>
        <w:pStyle w:val="TOC2"/>
        <w:tabs>
          <w:tab w:val="right" w:leader="dot" w:pos="9015"/>
        </w:tabs>
        <w:rPr>
          <w:rFonts w:asciiTheme="minorHAnsi" w:eastAsiaTheme="minorEastAsia" w:hAnsiTheme="minorHAnsi"/>
          <w:noProof/>
          <w:sz w:val="24"/>
        </w:rPr>
      </w:pPr>
      <w:hyperlink w:anchor="_Toc1078096327">
        <w:r w:rsidRPr="06553CDB">
          <w:rPr>
            <w:rStyle w:val="Hyperlink"/>
          </w:rPr>
          <w:t>4.1 Regional workshops and engagements</w:t>
        </w:r>
        <w:r w:rsidR="00E65009">
          <w:tab/>
        </w:r>
        <w:r w:rsidR="00E65009">
          <w:fldChar w:fldCharType="begin"/>
        </w:r>
        <w:r w:rsidR="00E65009">
          <w:instrText>PAGEREF _Toc1078096327 \h</w:instrText>
        </w:r>
        <w:r w:rsidR="00E65009">
          <w:fldChar w:fldCharType="separate"/>
        </w:r>
        <w:r w:rsidRPr="06553CDB">
          <w:rPr>
            <w:rStyle w:val="Hyperlink"/>
          </w:rPr>
          <w:t>10</w:t>
        </w:r>
        <w:r w:rsidR="00E65009">
          <w:fldChar w:fldCharType="end"/>
        </w:r>
      </w:hyperlink>
    </w:p>
    <w:p w14:paraId="1375F335" w14:textId="7BA3C71E" w:rsidR="00E65009" w:rsidRDefault="06553CDB" w:rsidP="06553CDB">
      <w:pPr>
        <w:pStyle w:val="TOC2"/>
        <w:tabs>
          <w:tab w:val="right" w:leader="dot" w:pos="9015"/>
        </w:tabs>
        <w:rPr>
          <w:rFonts w:asciiTheme="minorHAnsi" w:eastAsiaTheme="minorEastAsia" w:hAnsiTheme="minorHAnsi"/>
          <w:noProof/>
          <w:sz w:val="24"/>
        </w:rPr>
      </w:pPr>
      <w:hyperlink w:anchor="_Toc2046968438">
        <w:r w:rsidRPr="06553CDB">
          <w:rPr>
            <w:rStyle w:val="Hyperlink"/>
          </w:rPr>
          <w:t>4.2. Webinars and Moodle platform</w:t>
        </w:r>
        <w:r w:rsidR="00E65009">
          <w:tab/>
        </w:r>
        <w:r w:rsidR="00E65009">
          <w:fldChar w:fldCharType="begin"/>
        </w:r>
        <w:r w:rsidR="00E65009">
          <w:instrText>PAGEREF _Toc2046968438 \h</w:instrText>
        </w:r>
        <w:r w:rsidR="00E65009">
          <w:fldChar w:fldCharType="separate"/>
        </w:r>
        <w:r w:rsidRPr="06553CDB">
          <w:rPr>
            <w:rStyle w:val="Hyperlink"/>
          </w:rPr>
          <w:t>11</w:t>
        </w:r>
        <w:r w:rsidR="00E65009">
          <w:fldChar w:fldCharType="end"/>
        </w:r>
      </w:hyperlink>
    </w:p>
    <w:p w14:paraId="2F0002BC" w14:textId="07CE83B9" w:rsidR="00E65009" w:rsidRDefault="06553CDB" w:rsidP="06553CDB">
      <w:pPr>
        <w:pStyle w:val="TOC1"/>
        <w:tabs>
          <w:tab w:val="right" w:leader="dot" w:pos="9015"/>
        </w:tabs>
        <w:rPr>
          <w:rFonts w:asciiTheme="minorHAnsi" w:eastAsiaTheme="minorEastAsia" w:hAnsiTheme="minorHAnsi"/>
          <w:noProof/>
          <w:sz w:val="24"/>
        </w:rPr>
      </w:pPr>
      <w:hyperlink w:anchor="_Toc993926098">
        <w:r w:rsidRPr="06553CDB">
          <w:rPr>
            <w:rStyle w:val="Hyperlink"/>
          </w:rPr>
          <w:t>Annex 1: Country list: Programmed, Readiness, Investment</w:t>
        </w:r>
        <w:r w:rsidR="00E65009">
          <w:tab/>
        </w:r>
        <w:r w:rsidR="00E65009">
          <w:fldChar w:fldCharType="begin"/>
        </w:r>
        <w:r w:rsidR="00E65009">
          <w:instrText>PAGEREF _Toc993926098 \h</w:instrText>
        </w:r>
        <w:r w:rsidR="00E65009">
          <w:fldChar w:fldCharType="separate"/>
        </w:r>
        <w:r w:rsidRPr="06553CDB">
          <w:rPr>
            <w:rStyle w:val="Hyperlink"/>
          </w:rPr>
          <w:t>12</w:t>
        </w:r>
        <w:r w:rsidR="00E65009">
          <w:fldChar w:fldCharType="end"/>
        </w:r>
      </w:hyperlink>
    </w:p>
    <w:p w14:paraId="2E75AEE7" w14:textId="4D2B431D" w:rsidR="00E65009" w:rsidRDefault="06553CDB" w:rsidP="06553CDB">
      <w:pPr>
        <w:pStyle w:val="TOC1"/>
        <w:tabs>
          <w:tab w:val="right" w:leader="dot" w:pos="9015"/>
        </w:tabs>
        <w:rPr>
          <w:rFonts w:asciiTheme="minorHAnsi" w:eastAsiaTheme="minorEastAsia" w:hAnsiTheme="minorHAnsi"/>
          <w:noProof/>
          <w:sz w:val="24"/>
        </w:rPr>
      </w:pPr>
      <w:hyperlink w:anchor="_Toc533165131">
        <w:r w:rsidRPr="06553CDB">
          <w:rPr>
            <w:rStyle w:val="Hyperlink"/>
          </w:rPr>
          <w:t>Annex 2: Readiness phase: implementation progress summary</w:t>
        </w:r>
        <w:r w:rsidR="00E65009">
          <w:tab/>
        </w:r>
        <w:r w:rsidR="00E65009">
          <w:fldChar w:fldCharType="begin"/>
        </w:r>
        <w:r w:rsidR="00E65009">
          <w:instrText>PAGEREF _Toc533165131 \h</w:instrText>
        </w:r>
        <w:r w:rsidR="00E65009">
          <w:fldChar w:fldCharType="separate"/>
        </w:r>
        <w:r w:rsidRPr="06553CDB">
          <w:rPr>
            <w:rStyle w:val="Hyperlink"/>
          </w:rPr>
          <w:t>16</w:t>
        </w:r>
        <w:r w:rsidR="00E65009">
          <w:fldChar w:fldCharType="end"/>
        </w:r>
      </w:hyperlink>
    </w:p>
    <w:p w14:paraId="73C3AE21" w14:textId="0FD17A49" w:rsidR="00E65009" w:rsidRDefault="06553CDB" w:rsidP="06553CDB">
      <w:pPr>
        <w:pStyle w:val="TOC1"/>
        <w:tabs>
          <w:tab w:val="right" w:leader="dot" w:pos="9015"/>
        </w:tabs>
        <w:rPr>
          <w:rFonts w:asciiTheme="minorHAnsi" w:eastAsiaTheme="minorEastAsia" w:hAnsiTheme="minorHAnsi"/>
          <w:noProof/>
          <w:sz w:val="24"/>
        </w:rPr>
      </w:pPr>
      <w:hyperlink w:anchor="_Toc687543506">
        <w:r w:rsidRPr="06553CDB">
          <w:rPr>
            <w:rStyle w:val="Hyperlink"/>
          </w:rPr>
          <w:t>Annex 3: Investment phase: portfolio summary</w:t>
        </w:r>
        <w:r w:rsidR="00E65009">
          <w:tab/>
        </w:r>
        <w:r w:rsidR="00E65009">
          <w:fldChar w:fldCharType="begin"/>
        </w:r>
        <w:r w:rsidR="00E65009">
          <w:instrText>PAGEREF _Toc687543506 \h</w:instrText>
        </w:r>
        <w:r w:rsidR="00E65009">
          <w:fldChar w:fldCharType="separate"/>
        </w:r>
        <w:r w:rsidRPr="06553CDB">
          <w:rPr>
            <w:rStyle w:val="Hyperlink"/>
          </w:rPr>
          <w:t>19</w:t>
        </w:r>
        <w:r w:rsidR="00E65009">
          <w:fldChar w:fldCharType="end"/>
        </w:r>
      </w:hyperlink>
    </w:p>
    <w:p w14:paraId="34FC1C81" w14:textId="3FBBFACF" w:rsidR="00E65009" w:rsidRDefault="06553CDB" w:rsidP="06553CDB">
      <w:pPr>
        <w:pStyle w:val="TOC1"/>
        <w:tabs>
          <w:tab w:val="right" w:leader="dot" w:pos="9015"/>
        </w:tabs>
        <w:rPr>
          <w:rFonts w:asciiTheme="minorHAnsi" w:eastAsiaTheme="minorEastAsia" w:hAnsiTheme="minorHAnsi"/>
          <w:noProof/>
          <w:sz w:val="24"/>
        </w:rPr>
      </w:pPr>
      <w:hyperlink w:anchor="_Toc364891964">
        <w:r w:rsidRPr="06553CDB">
          <w:rPr>
            <w:rStyle w:val="Hyperlink"/>
          </w:rPr>
          <w:t>Annex 4: Investment phase: implementation progress summary per country (as of 30 September 2025)</w:t>
        </w:r>
        <w:r w:rsidR="00E65009">
          <w:tab/>
        </w:r>
        <w:r w:rsidR="00E65009">
          <w:fldChar w:fldCharType="begin"/>
        </w:r>
        <w:r w:rsidR="00E65009">
          <w:instrText>PAGEREF _Toc364891964 \h</w:instrText>
        </w:r>
        <w:r w:rsidR="00E65009">
          <w:fldChar w:fldCharType="separate"/>
        </w:r>
        <w:r w:rsidRPr="06553CDB">
          <w:rPr>
            <w:rStyle w:val="Hyperlink"/>
          </w:rPr>
          <w:t>22</w:t>
        </w:r>
        <w:r w:rsidR="00E65009">
          <w:fldChar w:fldCharType="end"/>
        </w:r>
      </w:hyperlink>
      <w:r w:rsidR="00E65009">
        <w:fldChar w:fldCharType="end"/>
      </w:r>
    </w:p>
    <w:p w14:paraId="65398994" w14:textId="5825A146" w:rsidR="00C10EEA" w:rsidRDefault="00C10EEA" w:rsidP="00D00C6F"/>
    <w:p w14:paraId="51E109A8" w14:textId="413C4248" w:rsidR="001C5BBE" w:rsidRDefault="001C5BBE">
      <w:pPr>
        <w:spacing w:after="0" w:line="240" w:lineRule="auto"/>
        <w:jc w:val="left"/>
      </w:pPr>
      <w:r>
        <w:br w:type="page"/>
      </w:r>
    </w:p>
    <w:p w14:paraId="72E6482F" w14:textId="3A1414AB" w:rsidR="00F30EC6" w:rsidRDefault="00F30EC6" w:rsidP="00F30EC6">
      <w:pPr>
        <w:pStyle w:val="TableofContentsHeading"/>
        <w:jc w:val="center"/>
      </w:pPr>
      <w:r>
        <w:lastRenderedPageBreak/>
        <w:t xml:space="preserve">SOFF Portfolio and Implementation Progress </w:t>
      </w:r>
    </w:p>
    <w:p w14:paraId="0E45D501" w14:textId="076C32FB" w:rsidR="001C5BBE" w:rsidRPr="000E4E46" w:rsidRDefault="001C5BBE" w:rsidP="001C5BBE">
      <w:pPr>
        <w:pStyle w:val="TableofContentsHeading"/>
        <w:jc w:val="center"/>
        <w:rPr>
          <w:lang w:eastAsia="ko-KR"/>
        </w:rPr>
      </w:pPr>
    </w:p>
    <w:p w14:paraId="42EE7223" w14:textId="31F98FEC" w:rsidR="0083270C" w:rsidRDefault="00F30EC6" w:rsidP="001C5BBE">
      <w:pPr>
        <w:pStyle w:val="Heading1"/>
        <w:rPr>
          <w:lang w:val="en-US" w:eastAsia="ko-KR"/>
        </w:rPr>
      </w:pPr>
      <w:bookmarkStart w:id="0" w:name="_Toc196471694"/>
      <w:bookmarkStart w:id="1" w:name="_Toc1772026527"/>
      <w:r w:rsidRPr="06553CDB">
        <w:rPr>
          <w:lang w:val="en-US"/>
        </w:rPr>
        <w:t xml:space="preserve">SOFF </w:t>
      </w:r>
      <w:r w:rsidRPr="06553CDB">
        <w:rPr>
          <w:lang w:val="en-US" w:eastAsia="ko-KR"/>
        </w:rPr>
        <w:t>operations overview</w:t>
      </w:r>
      <w:bookmarkEnd w:id="0"/>
      <w:bookmarkEnd w:id="1"/>
    </w:p>
    <w:p w14:paraId="6D4EA273" w14:textId="5A3AB23F" w:rsidR="00E03C5A" w:rsidRPr="00E03C5A" w:rsidRDefault="00E03C5A" w:rsidP="00E03C5A">
      <w:pPr>
        <w:pStyle w:val="Heading2"/>
        <w:ind w:left="576" w:hanging="576"/>
        <w:rPr>
          <w:b w:val="0"/>
          <w:lang w:val="en-US" w:eastAsia="ko-KR"/>
        </w:rPr>
      </w:pPr>
      <w:bookmarkStart w:id="2" w:name="_Toc1010027439"/>
      <w:r w:rsidRPr="06553CDB">
        <w:rPr>
          <w:lang w:eastAsia="ko-KR"/>
        </w:rPr>
        <w:t>1.1.</w:t>
      </w:r>
      <w:r w:rsidR="00E063C0" w:rsidRPr="06553CDB">
        <w:rPr>
          <w:lang w:eastAsia="ko-KR"/>
        </w:rPr>
        <w:t xml:space="preserve"> </w:t>
      </w:r>
      <w:r w:rsidRPr="06553CDB">
        <w:rPr>
          <w:lang w:val="en-US" w:eastAsia="ko-KR"/>
        </w:rPr>
        <w:t>Evolution of SOFF portfolio</w:t>
      </w:r>
      <w:bookmarkEnd w:id="2"/>
    </w:p>
    <w:p w14:paraId="250D091B" w14:textId="6E6B212E" w:rsidR="00E03C5A" w:rsidRDefault="00E03C5A" w:rsidP="00F30EC6">
      <w:pPr>
        <w:rPr>
          <w:lang w:eastAsia="ko-KR"/>
        </w:rPr>
      </w:pPr>
      <w:r w:rsidRPr="00E03C5A">
        <w:rPr>
          <w:lang w:eastAsia="ko-KR"/>
        </w:rPr>
        <w:t xml:space="preserve">The SOFF portfolio for the current period remains consistent with the portfolio as outlined in </w:t>
      </w:r>
      <w:hyperlink r:id="rId17">
        <w:r w:rsidR="3D5059A1" w:rsidRPr="112580C2">
          <w:rPr>
            <w:rStyle w:val="Hyperlink"/>
            <w:lang w:eastAsia="ko-KR"/>
          </w:rPr>
          <w:t>INF 11.2 SOFF Portfolio and Implementation Progress</w:t>
        </w:r>
      </w:hyperlink>
      <w:r>
        <w:rPr>
          <w:lang w:eastAsia="ko-KR"/>
        </w:rPr>
        <w:t xml:space="preserve"> submitted to the 11th Steering committee. As per </w:t>
      </w:r>
      <w:hyperlink r:id="rId18">
        <w:r w:rsidR="3D5059A1" w:rsidRPr="112580C2">
          <w:rPr>
            <w:rStyle w:val="Hyperlink"/>
            <w:lang w:eastAsia="ko-KR"/>
          </w:rPr>
          <w:t>Decision 11.6 Approach to Managing Country Funding Requests</w:t>
        </w:r>
      </w:hyperlink>
      <w:r w:rsidRPr="00E03C5A">
        <w:rPr>
          <w:lang w:eastAsia="ko-KR"/>
        </w:rPr>
        <w:t>, the Steering Committee decided to put programming of new countries and approval of new Readiness funding requests on hold and to create a SOFF Investment Phase pipeline following the prioritization criteria and process.</w:t>
      </w:r>
      <w:r w:rsidR="00557E3F">
        <w:rPr>
          <w:lang w:eastAsia="ko-KR"/>
        </w:rPr>
        <w:t xml:space="preserve"> </w:t>
      </w:r>
      <w:hyperlink r:id="rId19">
        <w:r w:rsidR="726B663F" w:rsidRPr="112580C2">
          <w:rPr>
            <w:rStyle w:val="Hyperlink"/>
            <w:lang w:eastAsia="ko-KR"/>
          </w:rPr>
          <w:t xml:space="preserve">Decision </w:t>
        </w:r>
        <w:r w:rsidR="2AB0C88E" w:rsidRPr="112580C2">
          <w:rPr>
            <w:rStyle w:val="Hyperlink"/>
            <w:lang w:eastAsia="ko-KR"/>
          </w:rPr>
          <w:t>11.8</w:t>
        </w:r>
      </w:hyperlink>
      <w:r w:rsidR="00C10342" w:rsidRPr="00E14076">
        <w:rPr>
          <w:lang w:eastAsia="ko-KR"/>
        </w:rPr>
        <w:t xml:space="preserve"> </w:t>
      </w:r>
      <w:r w:rsidR="00806C70" w:rsidRPr="00E14076">
        <w:rPr>
          <w:lang w:eastAsia="ko-KR"/>
        </w:rPr>
        <w:t>a</w:t>
      </w:r>
      <w:r w:rsidR="00A32856" w:rsidRPr="00E14076">
        <w:rPr>
          <w:lang w:eastAsia="ko-KR"/>
        </w:rPr>
        <w:t>dop</w:t>
      </w:r>
      <w:r w:rsidR="00966D14" w:rsidRPr="00E14076">
        <w:rPr>
          <w:lang w:eastAsia="ko-KR"/>
        </w:rPr>
        <w:t xml:space="preserve">ted the UN Food and Agriculture </w:t>
      </w:r>
      <w:r w:rsidR="00AE15CB" w:rsidRPr="00E14076">
        <w:rPr>
          <w:lang w:eastAsia="ko-KR"/>
        </w:rPr>
        <w:t xml:space="preserve">Organization as a SOFF Implementing Entity </w:t>
      </w:r>
      <w:r w:rsidR="742E8747" w:rsidRPr="112580C2">
        <w:rPr>
          <w:lang w:eastAsia="ko-KR"/>
        </w:rPr>
        <w:t xml:space="preserve">that </w:t>
      </w:r>
      <w:r w:rsidR="37A8361A" w:rsidRPr="112580C2">
        <w:rPr>
          <w:lang w:eastAsia="ko-KR"/>
        </w:rPr>
        <w:t>bring</w:t>
      </w:r>
      <w:r w:rsidR="091E1A9B" w:rsidRPr="112580C2">
        <w:rPr>
          <w:lang w:eastAsia="ko-KR"/>
        </w:rPr>
        <w:t>s</w:t>
      </w:r>
      <w:r w:rsidR="00AE15CB" w:rsidRPr="00E14076">
        <w:rPr>
          <w:lang w:eastAsia="ko-KR"/>
        </w:rPr>
        <w:t xml:space="preserve"> total number of SOFF Implementing Entities to ten.</w:t>
      </w:r>
      <w:r w:rsidR="00AE15CB">
        <w:rPr>
          <w:lang w:eastAsia="ko-KR"/>
        </w:rPr>
        <w:t xml:space="preserve"> </w:t>
      </w:r>
    </w:p>
    <w:p w14:paraId="2DEBFBA6" w14:textId="23B13B91" w:rsidR="00E03C5A" w:rsidRDefault="00E03C5A" w:rsidP="00F30EC6">
      <w:pPr>
        <w:rPr>
          <w:lang w:eastAsia="ko-KR"/>
        </w:rPr>
      </w:pPr>
      <w:r w:rsidRPr="306A31BA">
        <w:rPr>
          <w:lang w:eastAsia="ko-KR"/>
        </w:rPr>
        <w:t>The</w:t>
      </w:r>
      <w:r w:rsidRPr="14FAF8EC">
        <w:rPr>
          <w:lang w:eastAsia="ko-KR"/>
        </w:rPr>
        <w:t xml:space="preserve"> </w:t>
      </w:r>
      <w:hyperlink r:id="rId20">
        <w:r w:rsidRPr="14FAF8EC">
          <w:rPr>
            <w:rStyle w:val="Hyperlink"/>
          </w:rPr>
          <w:t>SOFF dashboard</w:t>
        </w:r>
      </w:hyperlink>
      <w:r w:rsidRPr="14FAF8EC">
        <w:rPr>
          <w:lang w:eastAsia="ko-KR"/>
        </w:rPr>
        <w:t xml:space="preserve"> complements this report and provides more granular information. </w:t>
      </w:r>
    </w:p>
    <w:p w14:paraId="7140A794" w14:textId="29492877" w:rsidR="0055620B" w:rsidRDefault="00E03C5A" w:rsidP="00C64FEB">
      <w:pPr>
        <w:pStyle w:val="Heading1"/>
        <w:rPr>
          <w:rFonts w:eastAsia="Malgun Gothic" w:cs="Open Sans"/>
          <w:lang w:eastAsia="ko-KR"/>
        </w:rPr>
      </w:pPr>
      <w:bookmarkStart w:id="3" w:name="_Toc196471696"/>
      <w:bookmarkStart w:id="4" w:name="_Toc1363375403"/>
      <w:r w:rsidRPr="06553CDB">
        <w:rPr>
          <w:rFonts w:eastAsia="Malgun Gothic" w:cs="Open Sans"/>
          <w:lang w:eastAsia="ko-KR"/>
        </w:rPr>
        <w:t xml:space="preserve">SOFF </w:t>
      </w:r>
      <w:bookmarkEnd w:id="3"/>
      <w:r w:rsidR="00E063C0" w:rsidRPr="06553CDB">
        <w:rPr>
          <w:rFonts w:eastAsia="Malgun Gothic" w:cs="Open Sans"/>
          <w:lang w:eastAsia="ko-KR"/>
        </w:rPr>
        <w:t>Readiness phase</w:t>
      </w:r>
      <w:bookmarkEnd w:id="4"/>
    </w:p>
    <w:p w14:paraId="6F2C0BBB" w14:textId="5091D145" w:rsidR="00C64FEB" w:rsidRDefault="00C64FEB" w:rsidP="00C64FEB">
      <w:pPr>
        <w:pStyle w:val="Heading2"/>
        <w:rPr>
          <w:lang w:eastAsia="ko-KR"/>
        </w:rPr>
      </w:pPr>
      <w:bookmarkStart w:id="5" w:name="_Toc1892553341"/>
      <w:r w:rsidRPr="06553CDB">
        <w:rPr>
          <w:lang w:eastAsia="ko-KR"/>
        </w:rPr>
        <w:t>2.1</w:t>
      </w:r>
      <w:r w:rsidR="425E74C0" w:rsidRPr="06553CDB">
        <w:rPr>
          <w:lang w:eastAsia="ko-KR"/>
        </w:rPr>
        <w:t>.</w:t>
      </w:r>
      <w:bookmarkStart w:id="6" w:name="_Toc196471700"/>
      <w:r w:rsidRPr="06553CDB">
        <w:rPr>
          <w:lang w:eastAsia="ko-KR"/>
        </w:rPr>
        <w:t xml:space="preserve"> Implementation progress</w:t>
      </w:r>
      <w:bookmarkEnd w:id="5"/>
      <w:bookmarkEnd w:id="6"/>
    </w:p>
    <w:p w14:paraId="1EFDD7FF" w14:textId="2F708DD7" w:rsidR="00C64FEB" w:rsidRDefault="00C64FEB" w:rsidP="306A31BA">
      <w:pPr>
        <w:rPr>
          <w:rFonts w:cs="Open Sans"/>
        </w:rPr>
      </w:pPr>
      <w:r>
        <w:rPr>
          <w:rFonts w:cs="Open Sans"/>
        </w:rPr>
        <w:t xml:space="preserve">As of </w:t>
      </w:r>
      <w:r w:rsidR="0055753B">
        <w:rPr>
          <w:rFonts w:cs="Open Sans"/>
        </w:rPr>
        <w:t>September</w:t>
      </w:r>
      <w:r>
        <w:rPr>
          <w:rFonts w:cs="Open Sans"/>
        </w:rPr>
        <w:t xml:space="preserve"> 2025, </w:t>
      </w:r>
      <w:r w:rsidR="00B2421D">
        <w:rPr>
          <w:rFonts w:cs="Open Sans"/>
        </w:rPr>
        <w:t>43</w:t>
      </w:r>
      <w:r>
        <w:rPr>
          <w:rFonts w:cs="Open Sans"/>
        </w:rPr>
        <w:t xml:space="preserve"> countries have completed the Readiness phase. </w:t>
      </w:r>
      <w:r w:rsidRPr="0031440D">
        <w:rPr>
          <w:rFonts w:cs="Open Sans"/>
        </w:rPr>
        <w:t xml:space="preserve">Figure </w:t>
      </w:r>
      <w:r w:rsidR="00857C79">
        <w:rPr>
          <w:rFonts w:cs="Open Sans"/>
        </w:rPr>
        <w:t>1</w:t>
      </w:r>
      <w:r>
        <w:rPr>
          <w:rFonts w:cs="Open Sans"/>
        </w:rPr>
        <w:t xml:space="preserve"> presents the overall implementation progress </w:t>
      </w:r>
      <w:r w:rsidRPr="00117D4B">
        <w:rPr>
          <w:rFonts w:cs="Open Sans"/>
        </w:rPr>
        <w:t>based on the status of the three Readiness outputs</w:t>
      </w:r>
      <w:r>
        <w:rPr>
          <w:rStyle w:val="FootnoteReference"/>
          <w:rFonts w:cs="Open Sans"/>
        </w:rPr>
        <w:footnoteReference w:id="2"/>
      </w:r>
      <w:r w:rsidRPr="00117D4B">
        <w:rPr>
          <w:rFonts w:cs="Open Sans"/>
        </w:rPr>
        <w:t xml:space="preserve">, </w:t>
      </w:r>
      <w:r w:rsidRPr="00855E10">
        <w:rPr>
          <w:rFonts w:cs="Open Sans"/>
        </w:rPr>
        <w:t xml:space="preserve">while a more detailed account is provided in Annex </w:t>
      </w:r>
      <w:r w:rsidR="00A25B69">
        <w:rPr>
          <w:rFonts w:cs="Open Sans"/>
        </w:rPr>
        <w:t xml:space="preserve">1 and </w:t>
      </w:r>
      <w:r w:rsidR="007E1675">
        <w:rPr>
          <w:rFonts w:cs="Open Sans"/>
        </w:rPr>
        <w:t>2.</w:t>
      </w:r>
    </w:p>
    <w:p w14:paraId="0FB6C250" w14:textId="1BCA265D" w:rsidR="00C64FEB" w:rsidRDefault="006D4AC8" w:rsidP="00C64FEB">
      <w:pPr>
        <w:pStyle w:val="Caption"/>
      </w:pPr>
      <w:r w:rsidRPr="006D4AC8">
        <w:rPr>
          <w:noProof/>
        </w:rPr>
        <w:drawing>
          <wp:inline distT="0" distB="0" distL="0" distR="0" wp14:anchorId="31B2A80C" wp14:editId="594BA8BA">
            <wp:extent cx="5712311" cy="2180863"/>
            <wp:effectExtent l="0" t="0" r="3175" b="0"/>
            <wp:docPr id="5773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309" name=""/>
                    <pic:cNvPicPr/>
                  </pic:nvPicPr>
                  <pic:blipFill>
                    <a:blip r:embed="rId21"/>
                    <a:stretch>
                      <a:fillRect/>
                    </a:stretch>
                  </pic:blipFill>
                  <pic:spPr>
                    <a:xfrm>
                      <a:off x="0" y="0"/>
                      <a:ext cx="5735906" cy="2189871"/>
                    </a:xfrm>
                    <a:prstGeom prst="rect">
                      <a:avLst/>
                    </a:prstGeom>
                  </pic:spPr>
                </pic:pic>
              </a:graphicData>
            </a:graphic>
          </wp:inline>
        </w:drawing>
      </w:r>
    </w:p>
    <w:p w14:paraId="71493BFE" w14:textId="6BF72247" w:rsidR="00C64FEB" w:rsidRDefault="00C64FEB" w:rsidP="00C64FEB">
      <w:pPr>
        <w:pStyle w:val="Caption"/>
        <w:spacing w:after="0"/>
        <w:jc w:val="center"/>
      </w:pPr>
      <w:r w:rsidRPr="0040079B">
        <w:rPr>
          <w:b/>
          <w:bCs/>
        </w:rPr>
        <w:t xml:space="preserve">Figure </w:t>
      </w:r>
      <w:r w:rsidR="00857C79">
        <w:rPr>
          <w:b/>
          <w:bCs/>
        </w:rPr>
        <w:t>1</w:t>
      </w:r>
      <w:r w:rsidRPr="0040079B">
        <w:rPr>
          <w:b/>
          <w:bCs/>
        </w:rPr>
        <w:t>.</w:t>
      </w:r>
      <w:r>
        <w:t xml:space="preserve"> </w:t>
      </w:r>
      <w:r w:rsidRPr="00E13931">
        <w:t>Readiness phase implementation progress.</w:t>
      </w:r>
      <w:r>
        <w:t xml:space="preserve"> </w:t>
      </w:r>
    </w:p>
    <w:p w14:paraId="4DCE5B11" w14:textId="3840F325" w:rsidR="00C64FEB" w:rsidRPr="0055753B" w:rsidRDefault="00C64FEB" w:rsidP="0055753B">
      <w:pPr>
        <w:pStyle w:val="Caption"/>
        <w:spacing w:after="0"/>
        <w:jc w:val="center"/>
        <w:rPr>
          <w:i/>
          <w:iCs w:val="0"/>
        </w:rPr>
      </w:pPr>
      <w:r w:rsidRPr="006D1F52">
        <w:rPr>
          <w:b/>
          <w:bCs/>
        </w:rPr>
        <w:t>Completed:</w:t>
      </w:r>
      <w:r>
        <w:t xml:space="preserve"> </w:t>
      </w:r>
      <w:r w:rsidRPr="00FD6032">
        <w:rPr>
          <w:i/>
          <w:iCs w:val="0"/>
        </w:rPr>
        <w:t>Readiness output delivered</w:t>
      </w:r>
      <w:r>
        <w:t>;</w:t>
      </w:r>
      <w:r w:rsidRPr="00FD6032">
        <w:t xml:space="preserve"> </w:t>
      </w:r>
      <w:r w:rsidRPr="006D1F52">
        <w:rPr>
          <w:b/>
          <w:bCs/>
        </w:rPr>
        <w:t>On track:</w:t>
      </w:r>
      <w:r>
        <w:t xml:space="preserve"> </w:t>
      </w:r>
      <w:r w:rsidRPr="00FD6032">
        <w:rPr>
          <w:i/>
          <w:iCs w:val="0"/>
        </w:rPr>
        <w:t>Output undergoing WMO screening, or timely delivery expected according to revised schedules</w:t>
      </w:r>
      <w:r>
        <w:rPr>
          <w:i/>
          <w:iCs w:val="0"/>
        </w:rPr>
        <w:t xml:space="preserve">; </w:t>
      </w:r>
      <w:r w:rsidRPr="006D1F52">
        <w:rPr>
          <w:b/>
          <w:bCs/>
        </w:rPr>
        <w:t>Delayed</w:t>
      </w:r>
      <w:r>
        <w:rPr>
          <w:i/>
          <w:iCs w:val="0"/>
        </w:rPr>
        <w:t xml:space="preserve">: </w:t>
      </w:r>
      <w:r w:rsidRPr="006D1F52">
        <w:rPr>
          <w:i/>
          <w:iCs w:val="0"/>
        </w:rPr>
        <w:t>Delayed compared to revised schedules</w:t>
      </w:r>
      <w:r>
        <w:rPr>
          <w:i/>
          <w:iCs w:val="0"/>
        </w:rPr>
        <w:t>.</w:t>
      </w:r>
    </w:p>
    <w:p w14:paraId="76AC49A8" w14:textId="2F2B3585" w:rsidR="306A31BA" w:rsidRDefault="306A31BA" w:rsidP="306A31BA"/>
    <w:p w14:paraId="570B2A12" w14:textId="138A6ABF" w:rsidR="425E9BE8" w:rsidRDefault="425E9BE8" w:rsidP="306A31BA">
      <w:pPr>
        <w:rPr>
          <w:rFonts w:cs="Open Sans"/>
          <w:highlight w:val="yellow"/>
        </w:rPr>
      </w:pPr>
      <w:r w:rsidRPr="3E7DE7EE">
        <w:rPr>
          <w:rFonts w:cs="Open Sans"/>
        </w:rPr>
        <w:lastRenderedPageBreak/>
        <w:t xml:space="preserve">As previously reported, diverse country contexts, organizational challenges, and capacity constraints have contributed to delays in the original delivery schedule of the Readiness phase. </w:t>
      </w:r>
      <w:r w:rsidR="63CABB33" w:rsidRPr="3E7DE7EE">
        <w:rPr>
          <w:rFonts w:cs="Open Sans"/>
        </w:rPr>
        <w:t xml:space="preserve">The projects are now on track according to the revised extended schedules. </w:t>
      </w:r>
      <w:r w:rsidRPr="3E7DE7EE">
        <w:rPr>
          <w:rFonts w:cs="Open Sans"/>
        </w:rPr>
        <w:t>Peer advisors continue to maintain close communication with the SOFF Secretariat, providing updates through semi-annual progress reports, and overall implementation is progressing steadily.</w:t>
      </w:r>
      <w:r w:rsidR="4362DA93" w:rsidRPr="3E7DE7EE">
        <w:rPr>
          <w:rFonts w:cs="Open Sans"/>
        </w:rPr>
        <w:t xml:space="preserve"> </w:t>
      </w:r>
    </w:p>
    <w:p w14:paraId="145EEC1B" w14:textId="4E6B183C" w:rsidR="306A31BA" w:rsidRPr="00EE6281" w:rsidRDefault="425E9BE8" w:rsidP="00EE6281">
      <w:pPr>
        <w:pStyle w:val="Caption"/>
        <w:rPr>
          <w:rFonts w:cs="Open Sans"/>
          <w:color w:val="auto"/>
          <w:sz w:val="22"/>
          <w:szCs w:val="22"/>
          <w:highlight w:val="yellow"/>
        </w:rPr>
      </w:pPr>
      <w:r w:rsidRPr="306A31BA">
        <w:rPr>
          <w:rFonts w:cs="Open Sans"/>
          <w:color w:val="auto"/>
          <w:sz w:val="22"/>
          <w:szCs w:val="22"/>
        </w:rPr>
        <w:t xml:space="preserve">Section 4 of the SOFF Readiness Phase Funding Request Template requires countries and Implementing Entities to conduct an evaluation of the peer advisory services received during the Readiness phase. As more countries near completion of this phase, an evaluation survey is planned for Q4 of 2025. The upcoming Implementing Entity and peer advisor workshop in Morocco in October 2025 will serve as an opportunity to introduce the survey to Peer Advisors and Implementing Entities, </w:t>
      </w:r>
      <w:r w:rsidR="641C34C5" w:rsidRPr="112580C2">
        <w:rPr>
          <w:rFonts w:cs="Open Sans"/>
          <w:color w:val="auto"/>
          <w:sz w:val="22"/>
          <w:szCs w:val="22"/>
        </w:rPr>
        <w:t>seek</w:t>
      </w:r>
      <w:r w:rsidR="00EE6281" w:rsidRPr="00EE6281">
        <w:rPr>
          <w:rFonts w:cs="Open Sans"/>
          <w:color w:val="auto"/>
          <w:sz w:val="22"/>
          <w:szCs w:val="22"/>
        </w:rPr>
        <w:t xml:space="preserve"> feedback.</w:t>
      </w:r>
    </w:p>
    <w:p w14:paraId="565B1FA9" w14:textId="570F9A15" w:rsidR="0055753B" w:rsidRPr="00857C79" w:rsidRDefault="0055753B" w:rsidP="0055753B">
      <w:pPr>
        <w:pStyle w:val="Heading1"/>
      </w:pPr>
      <w:bookmarkStart w:id="7" w:name="_Toc196471701"/>
      <w:bookmarkStart w:id="8" w:name="_Toc1549599982"/>
      <w:r w:rsidRPr="06553CDB">
        <w:rPr>
          <w:rFonts w:eastAsia="Malgun Gothic"/>
          <w:lang w:eastAsia="ko-KR"/>
        </w:rPr>
        <w:t xml:space="preserve">SOFF </w:t>
      </w:r>
      <w:r>
        <w:t>Investment phase</w:t>
      </w:r>
      <w:bookmarkEnd w:id="7"/>
      <w:bookmarkEnd w:id="8"/>
    </w:p>
    <w:p w14:paraId="02C9294C" w14:textId="2FD29066" w:rsidR="0055753B" w:rsidRDefault="2CD764EA" w:rsidP="0055753B">
      <w:pPr>
        <w:rPr>
          <w:noProof/>
        </w:rPr>
      </w:pPr>
      <w:r w:rsidRPr="306A31BA">
        <w:rPr>
          <w:lang w:eastAsia="ko-KR"/>
        </w:rPr>
        <w:t>While t</w:t>
      </w:r>
      <w:r w:rsidR="5E7D552B" w:rsidRPr="306A31BA">
        <w:rPr>
          <w:lang w:eastAsia="ko-KR"/>
        </w:rPr>
        <w:t xml:space="preserve">he SOFF </w:t>
      </w:r>
      <w:r w:rsidR="7D53B620" w:rsidRPr="306A31BA">
        <w:rPr>
          <w:lang w:eastAsia="ko-KR"/>
        </w:rPr>
        <w:t xml:space="preserve">Investment phase </w:t>
      </w:r>
      <w:r w:rsidR="5E7D552B" w:rsidRPr="306A31BA">
        <w:rPr>
          <w:lang w:eastAsia="ko-KR"/>
        </w:rPr>
        <w:t xml:space="preserve">portfolio </w:t>
      </w:r>
      <w:r w:rsidR="495D8D84" w:rsidRPr="306A31BA">
        <w:rPr>
          <w:lang w:eastAsia="ko-KR"/>
        </w:rPr>
        <w:t>as of September 2025</w:t>
      </w:r>
      <w:r w:rsidR="18F402E5" w:rsidRPr="306A31BA">
        <w:rPr>
          <w:lang w:eastAsia="ko-KR"/>
        </w:rPr>
        <w:t xml:space="preserve"> </w:t>
      </w:r>
      <w:r w:rsidR="5E7D552B" w:rsidRPr="306A31BA">
        <w:rPr>
          <w:lang w:eastAsia="ko-KR"/>
        </w:rPr>
        <w:t xml:space="preserve">remains consistent with the established portfolio outlined in </w:t>
      </w:r>
      <w:hyperlink r:id="rId22">
        <w:r w:rsidR="5E7D552B" w:rsidRPr="306A31BA">
          <w:rPr>
            <w:rStyle w:val="Hyperlink"/>
            <w:lang w:eastAsia="ko-KR"/>
          </w:rPr>
          <w:t>INF 11.2 SOFF Portfolio and Implementation Progress</w:t>
        </w:r>
      </w:hyperlink>
      <w:r w:rsidR="64605981" w:rsidRPr="306A31BA">
        <w:rPr>
          <w:lang w:eastAsia="ko-KR"/>
        </w:rPr>
        <w:t xml:space="preserve">, six </w:t>
      </w:r>
      <w:r w:rsidR="56278D54" w:rsidRPr="306A31BA">
        <w:rPr>
          <w:lang w:eastAsia="ko-KR"/>
        </w:rPr>
        <w:t xml:space="preserve">additional </w:t>
      </w:r>
      <w:r w:rsidR="64605981" w:rsidRPr="306A31BA">
        <w:rPr>
          <w:lang w:eastAsia="ko-KR"/>
        </w:rPr>
        <w:t xml:space="preserve">countries are now in </w:t>
      </w:r>
      <w:hyperlink r:id="rId23">
        <w:r w:rsidR="3EC2DA90" w:rsidRPr="306A31BA">
          <w:rPr>
            <w:rStyle w:val="Hyperlink"/>
            <w:lang w:eastAsia="ko-KR"/>
          </w:rPr>
          <w:t>SOFF</w:t>
        </w:r>
        <w:r w:rsidR="64605981" w:rsidRPr="306A31BA">
          <w:rPr>
            <w:rStyle w:val="Hyperlink"/>
            <w:lang w:eastAsia="ko-KR"/>
          </w:rPr>
          <w:t xml:space="preserve"> Investment </w:t>
        </w:r>
        <w:r w:rsidR="12133D1F" w:rsidRPr="306A31BA">
          <w:rPr>
            <w:rStyle w:val="Hyperlink"/>
            <w:lang w:eastAsia="ko-KR"/>
          </w:rPr>
          <w:t>Phase pipeline</w:t>
        </w:r>
        <w:r w:rsidR="56278D54" w:rsidRPr="306A31BA">
          <w:rPr>
            <w:rStyle w:val="Hyperlink"/>
            <w:lang w:eastAsia="ko-KR"/>
          </w:rPr>
          <w:t>.</w:t>
        </w:r>
      </w:hyperlink>
    </w:p>
    <w:p w14:paraId="65AAA0AA" w14:textId="4C49EB5C" w:rsidR="0055753B" w:rsidRPr="00584D6C" w:rsidRDefault="5E7D552B" w:rsidP="0055753B">
      <w:pPr>
        <w:pStyle w:val="Heading2"/>
        <w:rPr>
          <w:highlight w:val="yellow"/>
          <w:lang w:eastAsia="ko-KR"/>
        </w:rPr>
      </w:pPr>
      <w:bookmarkStart w:id="9" w:name="_Toc1956056002"/>
      <w:bookmarkStart w:id="10" w:name="_Toc196471702"/>
      <w:r w:rsidRPr="06553CDB">
        <w:rPr>
          <w:lang w:eastAsia="ko-KR"/>
        </w:rPr>
        <w:t xml:space="preserve">3.1 </w:t>
      </w:r>
      <w:r w:rsidR="00F026E0" w:rsidRPr="06553CDB">
        <w:rPr>
          <w:lang w:eastAsia="ko-KR"/>
        </w:rPr>
        <w:t>Approvals and</w:t>
      </w:r>
      <w:r w:rsidR="0055753B" w:rsidRPr="06553CDB">
        <w:rPr>
          <w:lang w:eastAsia="ko-KR"/>
        </w:rPr>
        <w:t xml:space="preserve"> transfers</w:t>
      </w:r>
      <w:bookmarkEnd w:id="9"/>
      <w:r w:rsidR="17E9E758" w:rsidRPr="06553CDB">
        <w:rPr>
          <w:lang w:eastAsia="ko-KR"/>
        </w:rPr>
        <w:t xml:space="preserve"> </w:t>
      </w:r>
      <w:bookmarkEnd w:id="10"/>
    </w:p>
    <w:p w14:paraId="40666C45" w14:textId="242F17A6" w:rsidR="00FF5DC5" w:rsidRDefault="0055753B" w:rsidP="0055753B">
      <w:r>
        <w:t xml:space="preserve">All </w:t>
      </w:r>
      <w:r w:rsidRPr="00456DB4">
        <w:t xml:space="preserve">countries with </w:t>
      </w:r>
      <w:r w:rsidR="00A7633A">
        <w:t xml:space="preserve">approved </w:t>
      </w:r>
      <w:r w:rsidRPr="00456DB4">
        <w:t>Investment funding</w:t>
      </w:r>
      <w:r w:rsidR="00A7633A">
        <w:t xml:space="preserve">, </w:t>
      </w:r>
      <w:r>
        <w:t>except</w:t>
      </w:r>
      <w:r w:rsidRPr="00456DB4">
        <w:t xml:space="preserve"> South Sudan</w:t>
      </w:r>
      <w:r w:rsidR="00A7633A">
        <w:t xml:space="preserve">, </w:t>
      </w:r>
      <w:r w:rsidRPr="00456DB4">
        <w:t xml:space="preserve">have </w:t>
      </w:r>
      <w:r w:rsidR="5E626B29">
        <w:t xml:space="preserve">effective </w:t>
      </w:r>
      <w:r>
        <w:t>financing agreements with the UN Multi-Partner Trust Fund Office</w:t>
      </w:r>
      <w:r>
        <w:rPr>
          <w:rFonts w:hint="eastAsia"/>
          <w:lang w:eastAsia="ko-KR"/>
        </w:rPr>
        <w:t xml:space="preserve"> (UN MPTF)</w:t>
      </w:r>
      <w:r>
        <w:rPr>
          <w:lang w:eastAsia="ko-KR"/>
        </w:rPr>
        <w:t xml:space="preserve"> </w:t>
      </w:r>
      <w:r>
        <w:t xml:space="preserve">and </w:t>
      </w:r>
      <w:r w:rsidRPr="00456DB4">
        <w:t>received their first tranche</w:t>
      </w:r>
      <w:r w:rsidRPr="00456DB4">
        <w:rPr>
          <w:rFonts w:hint="eastAsia"/>
          <w:lang w:eastAsia="ko-KR"/>
        </w:rPr>
        <w:t xml:space="preserve"> </w:t>
      </w:r>
      <w:r w:rsidRPr="546FAF52">
        <w:rPr>
          <w:lang w:eastAsia="ko-KR"/>
        </w:rPr>
        <w:t xml:space="preserve">fund </w:t>
      </w:r>
      <w:r w:rsidRPr="00456DB4">
        <w:rPr>
          <w:lang w:eastAsia="ko-KR"/>
        </w:rPr>
        <w:t>transfers</w:t>
      </w:r>
      <w:r w:rsidRPr="369981B3">
        <w:rPr>
          <w:lang w:eastAsia="ko-KR"/>
        </w:rPr>
        <w:t xml:space="preserve"> </w:t>
      </w:r>
      <w:r w:rsidRPr="1B81F785">
        <w:rPr>
          <w:lang w:eastAsia="ko-KR"/>
        </w:rPr>
        <w:t xml:space="preserve">(Figure </w:t>
      </w:r>
      <w:r w:rsidR="00857C79">
        <w:rPr>
          <w:lang w:eastAsia="ko-KR"/>
        </w:rPr>
        <w:t>2</w:t>
      </w:r>
      <w:r w:rsidRPr="1B81F785">
        <w:rPr>
          <w:lang w:eastAsia="ko-KR"/>
        </w:rPr>
        <w:t>)</w:t>
      </w:r>
      <w:r>
        <w:t xml:space="preserve">. </w:t>
      </w:r>
      <w:r w:rsidR="00A7633A">
        <w:t xml:space="preserve">For South Sudan, a revised Investment </w:t>
      </w:r>
      <w:r w:rsidR="005C6029">
        <w:t xml:space="preserve">funding request is being prepared following the </w:t>
      </w:r>
      <w:r w:rsidR="005C6029" w:rsidRPr="00450B7F">
        <w:t>Steering Committee</w:t>
      </w:r>
      <w:r w:rsidR="005C6029">
        <w:t xml:space="preserve"> </w:t>
      </w:r>
      <w:hyperlink r:id="rId24">
        <w:r w:rsidR="00BD5DEE" w:rsidRPr="306A31BA">
          <w:rPr>
            <w:rStyle w:val="Hyperlink"/>
          </w:rPr>
          <w:t>Decision</w:t>
        </w:r>
        <w:r w:rsidR="006F1D9D" w:rsidRPr="306A31BA">
          <w:rPr>
            <w:rStyle w:val="Hyperlink"/>
          </w:rPr>
          <w:t xml:space="preserve"> 11.8</w:t>
        </w:r>
      </w:hyperlink>
      <w:r w:rsidRPr="00450B7F">
        <w:t xml:space="preserve"> to include FAO as a SOFF Implementing Entity</w:t>
      </w:r>
      <w:r>
        <w:t>.</w:t>
      </w:r>
      <w:r w:rsidR="00385A92">
        <w:t xml:space="preserve"> </w:t>
      </w:r>
      <w:r w:rsidR="6646C77A">
        <w:t xml:space="preserve">Since the approval of the </w:t>
      </w:r>
      <w:hyperlink r:id="rId25">
        <w:r w:rsidR="17385F0F" w:rsidRPr="112580C2">
          <w:rPr>
            <w:rStyle w:val="Hyperlink"/>
          </w:rPr>
          <w:t>South Sudan's National Contribution Plan</w:t>
        </w:r>
      </w:hyperlink>
      <w:r w:rsidR="004F74AF">
        <w:t>(NCP)</w:t>
      </w:r>
      <w:r w:rsidR="00BD2517" w:rsidRPr="00BD2517">
        <w:t xml:space="preserve"> in 2023, several changes have taken place in the country, largely </w:t>
      </w:r>
      <w:r w:rsidR="00BD2517">
        <w:t xml:space="preserve">due to </w:t>
      </w:r>
      <w:r w:rsidR="00BD2517" w:rsidRPr="00BD2517">
        <w:t>FAO’s investments. As a result, the country has submitted a</w:t>
      </w:r>
      <w:r w:rsidR="004C178C">
        <w:t>n addendum to their</w:t>
      </w:r>
      <w:r w:rsidR="00BD2517" w:rsidRPr="00BD2517">
        <w:t xml:space="preserve"> </w:t>
      </w:r>
      <w:r w:rsidR="004F74AF">
        <w:t>NCP</w:t>
      </w:r>
      <w:r w:rsidR="00BD2517" w:rsidRPr="00BD2517">
        <w:t xml:space="preserve"> that reflects these investments. In light of this process, the revised South Sudan funding request is expected to be submitted for consideration </w:t>
      </w:r>
      <w:r w:rsidR="7214317F">
        <w:t>at</w:t>
      </w:r>
      <w:r w:rsidR="00BD2517" w:rsidRPr="00BD2517">
        <w:t xml:space="preserve"> the next Steering Committee</w:t>
      </w:r>
      <w:r w:rsidR="283AD946">
        <w:t xml:space="preserve"> meeting</w:t>
      </w:r>
      <w:r w:rsidR="00BD2517" w:rsidRPr="00BD2517">
        <w:t>.</w:t>
      </w:r>
    </w:p>
    <w:p w14:paraId="3621E55C" w14:textId="5C2C57A3" w:rsidR="265982D2" w:rsidRDefault="265982D2" w:rsidP="306A31BA">
      <w:pPr>
        <w:rPr>
          <w:highlight w:val="yellow"/>
        </w:rPr>
      </w:pPr>
      <w:r w:rsidRPr="306A31BA">
        <w:rPr>
          <w:lang w:eastAsia="ko-KR"/>
        </w:rPr>
        <w:t xml:space="preserve">Out of the three countries with conditionally approved Investment funding, namely, Samoa, Nauru, and Malawi, </w:t>
      </w:r>
      <w:r w:rsidR="37CA131E" w:rsidRPr="306A31BA">
        <w:rPr>
          <w:lang w:eastAsia="ko-KR"/>
        </w:rPr>
        <w:t xml:space="preserve">the </w:t>
      </w:r>
      <w:r w:rsidR="1085FBB2" w:rsidRPr="306A31BA">
        <w:rPr>
          <w:lang w:eastAsia="ko-KR"/>
        </w:rPr>
        <w:t xml:space="preserve">funding transfer for </w:t>
      </w:r>
      <w:r w:rsidRPr="306A31BA">
        <w:rPr>
          <w:lang w:eastAsia="ko-KR"/>
        </w:rPr>
        <w:t xml:space="preserve">Samoa </w:t>
      </w:r>
      <w:r w:rsidR="40BDE209" w:rsidRPr="306A31BA">
        <w:rPr>
          <w:lang w:eastAsia="ko-KR"/>
        </w:rPr>
        <w:t xml:space="preserve">is expected </w:t>
      </w:r>
      <w:r w:rsidR="407B829A" w:rsidRPr="306A31BA">
        <w:rPr>
          <w:lang w:eastAsia="ko-KR"/>
        </w:rPr>
        <w:t>to be considered by the 1</w:t>
      </w:r>
      <w:r w:rsidRPr="306A31BA">
        <w:rPr>
          <w:lang w:eastAsia="ko-KR"/>
        </w:rPr>
        <w:t>2th Steering Committee</w:t>
      </w:r>
      <w:r w:rsidR="00B45980">
        <w:rPr>
          <w:lang w:eastAsia="ko-KR"/>
        </w:rPr>
        <w:t xml:space="preserve"> through </w:t>
      </w:r>
      <w:r w:rsidR="00B45980" w:rsidRPr="00775655">
        <w:rPr>
          <w:lang w:eastAsia="ko-KR"/>
        </w:rPr>
        <w:t>draft Decision 12.</w:t>
      </w:r>
      <w:r w:rsidR="00DE3833">
        <w:rPr>
          <w:lang w:eastAsia="ko-KR"/>
        </w:rPr>
        <w:t>2</w:t>
      </w:r>
      <w:r w:rsidRPr="306A31BA">
        <w:rPr>
          <w:lang w:eastAsia="ko-KR"/>
        </w:rPr>
        <w:t>. Funding for Nauru and Malawi</w:t>
      </w:r>
      <w:r w:rsidR="0055753B" w:rsidRPr="306A31BA">
        <w:rPr>
          <w:lang w:eastAsia="ko-KR"/>
        </w:rPr>
        <w:t xml:space="preserve"> will be transferred once sufficient financial resources become available.</w:t>
      </w:r>
      <w:r w:rsidR="04B656F6" w:rsidRPr="306A31BA">
        <w:rPr>
          <w:lang w:eastAsia="ko-KR"/>
        </w:rPr>
        <w:t xml:space="preserve"> </w:t>
      </w:r>
    </w:p>
    <w:p w14:paraId="5E4EAA35" w14:textId="77777777" w:rsidR="0055753B" w:rsidRDefault="0055753B" w:rsidP="0055753B">
      <w:pPr>
        <w:rPr>
          <w:lang w:eastAsia="ko-KR"/>
        </w:rPr>
      </w:pPr>
      <w:r>
        <w:rPr>
          <w:rFonts w:hint="eastAsia"/>
          <w:lang w:eastAsia="ko-KR"/>
        </w:rPr>
        <w:t xml:space="preserve">The status of </w:t>
      </w:r>
      <w:r>
        <w:rPr>
          <w:lang w:eastAsia="ko-KR"/>
        </w:rPr>
        <w:t>fund transfers</w:t>
      </w:r>
      <w:r>
        <w:rPr>
          <w:rFonts w:hint="eastAsia"/>
          <w:lang w:eastAsia="ko-KR"/>
        </w:rPr>
        <w:t xml:space="preserve"> is summarized in the figure below and details per country are presented in Annex 3.</w:t>
      </w:r>
    </w:p>
    <w:p w14:paraId="0AE4AD51" w14:textId="3DC19453" w:rsidR="0055753B" w:rsidRPr="00855E10" w:rsidRDefault="0055753B" w:rsidP="0055753B">
      <w:pPr>
        <w:keepNext/>
      </w:pPr>
      <w:r w:rsidRPr="00855E10">
        <w:rPr>
          <w:noProof/>
          <w:shd w:val="clear" w:color="auto" w:fill="F2F2F2" w:themeFill="background1" w:themeFillShade="F2"/>
        </w:rPr>
        <w:lastRenderedPageBreak/>
        <w:drawing>
          <wp:inline distT="0" distB="0" distL="0" distR="0" wp14:anchorId="0AD9FEF7" wp14:editId="5469C781">
            <wp:extent cx="5798820" cy="2175164"/>
            <wp:effectExtent l="0" t="0" r="0" b="0"/>
            <wp:docPr id="202925459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9BD492" w14:textId="3E67F7BD" w:rsidR="0019027D" w:rsidRPr="00DE3833" w:rsidRDefault="0055753B" w:rsidP="00DE3833">
      <w:pPr>
        <w:pStyle w:val="Caption"/>
        <w:ind w:left="630" w:right="1106"/>
        <w:jc w:val="center"/>
        <w:rPr>
          <w:lang w:eastAsia="ko-KR"/>
        </w:rPr>
      </w:pPr>
      <w:r w:rsidRPr="00855E10">
        <w:rPr>
          <w:b/>
          <w:bCs/>
        </w:rPr>
        <w:t xml:space="preserve">Figure </w:t>
      </w:r>
      <w:r w:rsidR="00857C79">
        <w:rPr>
          <w:b/>
        </w:rPr>
        <w:t>2</w:t>
      </w:r>
      <w:r w:rsidRPr="00855E10">
        <w:rPr>
          <w:b/>
          <w:bCs/>
          <w:lang w:eastAsia="ko-KR"/>
        </w:rPr>
        <w:t>.</w:t>
      </w:r>
      <w:r w:rsidRPr="00855E10">
        <w:rPr>
          <w:rFonts w:hint="eastAsia"/>
          <w:lang w:eastAsia="ko-KR"/>
        </w:rPr>
        <w:t xml:space="preserve"> </w:t>
      </w:r>
      <w:r w:rsidRPr="00855E10">
        <w:rPr>
          <w:lang w:eastAsia="ko-KR"/>
        </w:rPr>
        <w:t>Status of Investment phase funding commitments for 18 countries (USD 106.9 million).</w:t>
      </w:r>
      <w:r w:rsidR="00BE0BA1">
        <w:rPr>
          <w:lang w:eastAsia="ko-KR"/>
        </w:rPr>
        <w:t xml:space="preserve"> *Fund transfer of South Sudan is pending resubmission of Investment funding request</w:t>
      </w:r>
      <w:r w:rsidR="00FF5DC5">
        <w:rPr>
          <w:lang w:eastAsia="ko-KR"/>
        </w:rPr>
        <w:t xml:space="preserve">. </w:t>
      </w:r>
      <w:bookmarkStart w:id="11" w:name="_Toc196471703"/>
    </w:p>
    <w:p w14:paraId="62A1789D" w14:textId="2D5C62EC" w:rsidR="00840525" w:rsidRDefault="00AD619A" w:rsidP="001A4F8A">
      <w:pPr>
        <w:pStyle w:val="Heading2"/>
        <w:rPr>
          <w:lang w:eastAsia="ko-KR"/>
        </w:rPr>
      </w:pPr>
      <w:bookmarkStart w:id="12" w:name="_Toc1454904513"/>
      <w:r w:rsidRPr="06553CDB">
        <w:rPr>
          <w:lang w:eastAsia="ko-KR"/>
        </w:rPr>
        <w:t>3.2 Implementation progress</w:t>
      </w:r>
      <w:bookmarkEnd w:id="11"/>
      <w:bookmarkEnd w:id="12"/>
    </w:p>
    <w:p w14:paraId="2A2393A3" w14:textId="1E4B0BD3" w:rsidR="0039668B" w:rsidRDefault="21D08808" w:rsidP="0019027D">
      <w:pPr>
        <w:rPr>
          <w:lang w:eastAsia="ko-KR"/>
        </w:rPr>
      </w:pPr>
      <w:r w:rsidRPr="112580C2">
        <w:rPr>
          <w:lang w:eastAsia="ko-KR"/>
        </w:rPr>
        <w:t>Rwanda</w:t>
      </w:r>
      <w:r w:rsidR="000F12FB" w:rsidRPr="000F12FB">
        <w:rPr>
          <w:lang w:eastAsia="ko-KR"/>
        </w:rPr>
        <w:t xml:space="preserve"> and Mozambique </w:t>
      </w:r>
      <w:r w:rsidRPr="112580C2">
        <w:rPr>
          <w:lang w:eastAsia="ko-KR"/>
        </w:rPr>
        <w:t xml:space="preserve">are the first countries that </w:t>
      </w:r>
      <w:r w:rsidR="000F12FB" w:rsidRPr="000F12FB">
        <w:rPr>
          <w:lang w:eastAsia="ko-KR"/>
        </w:rPr>
        <w:t xml:space="preserve">have begun sharing data from their SOFF-funded stations while continuing efforts to make them fully GBON-compliant. This includes three surface stations in Rwanda and five in Mozambique. Additional stations are expected to come online </w:t>
      </w:r>
      <w:r w:rsidR="4D14378D" w:rsidRPr="112580C2">
        <w:rPr>
          <w:lang w:eastAsia="ko-KR"/>
        </w:rPr>
        <w:t>in the near future</w:t>
      </w:r>
      <w:r w:rsidR="000F12FB" w:rsidRPr="000F12FB">
        <w:rPr>
          <w:lang w:eastAsia="ko-KR"/>
        </w:rPr>
        <w:t xml:space="preserve"> as procurement processes advance.</w:t>
      </w:r>
      <w:r w:rsidR="00C64556">
        <w:rPr>
          <w:lang w:eastAsia="ko-KR"/>
        </w:rPr>
        <w:t xml:space="preserve"> This marks significant progress in SOFF implementation</w:t>
      </w:r>
      <w:r w:rsidR="00F07A90">
        <w:rPr>
          <w:lang w:eastAsia="ko-KR"/>
        </w:rPr>
        <w:t>, with</w:t>
      </w:r>
      <w:r w:rsidR="00DE23B7">
        <w:rPr>
          <w:lang w:eastAsia="ko-KR"/>
        </w:rPr>
        <w:t xml:space="preserve"> first SOFF</w:t>
      </w:r>
      <w:r w:rsidR="00F07A90">
        <w:rPr>
          <w:lang w:eastAsia="ko-KR"/>
        </w:rPr>
        <w:t xml:space="preserve"> investments </w:t>
      </w:r>
      <w:r w:rsidR="00DE23B7">
        <w:rPr>
          <w:lang w:eastAsia="ko-KR"/>
        </w:rPr>
        <w:t>starting to deliver results.</w:t>
      </w:r>
    </w:p>
    <w:p w14:paraId="020F401A" w14:textId="6DF3D56F" w:rsidR="00690701" w:rsidRDefault="00690701" w:rsidP="0019027D">
      <w:r>
        <w:t xml:space="preserve">Implementing </w:t>
      </w:r>
      <w:r w:rsidR="1F5343AD">
        <w:t>E</w:t>
      </w:r>
      <w:r>
        <w:t>ntities and peer advisors from thirteen</w:t>
      </w:r>
      <w:r w:rsidR="0019027D" w:rsidRPr="00E540D6">
        <w:t xml:space="preserve"> </w:t>
      </w:r>
      <w:r w:rsidR="0019027D">
        <w:t>countrie</w:t>
      </w:r>
      <w:r w:rsidR="0019027D" w:rsidRPr="1F292A06">
        <w:rPr>
          <w:lang w:eastAsia="ko-KR"/>
        </w:rPr>
        <w:t>s</w:t>
      </w:r>
      <w:r w:rsidR="0019027D">
        <w:rPr>
          <w:rFonts w:hint="eastAsia"/>
          <w:lang w:eastAsia="ko-KR"/>
        </w:rPr>
        <w:t xml:space="preserve"> </w:t>
      </w:r>
      <w:r w:rsidR="0019027D">
        <w:rPr>
          <w:lang w:eastAsia="ko-KR"/>
        </w:rPr>
        <w:t>–</w:t>
      </w:r>
      <w:r w:rsidR="0019027D">
        <w:rPr>
          <w:rFonts w:hint="eastAsia"/>
          <w:lang w:eastAsia="ko-KR"/>
        </w:rPr>
        <w:t xml:space="preserve"> </w:t>
      </w:r>
      <w:r>
        <w:rPr>
          <w:lang w:eastAsia="ko-KR"/>
        </w:rPr>
        <w:t xml:space="preserve">Belize, </w:t>
      </w:r>
      <w:r w:rsidR="0019027D" w:rsidRPr="00E540D6">
        <w:t>Bhutan, Cabo Verde, Chad, Ethiopia, Kiribati, Maldives, Mozambique, Rwanda, Solomon Islands,</w:t>
      </w:r>
      <w:r>
        <w:t xml:space="preserve"> </w:t>
      </w:r>
      <w:r w:rsidR="0019027D" w:rsidRPr="00E540D6">
        <w:t>Tanzania</w:t>
      </w:r>
      <w:r>
        <w:t>, Timor Leste and Uganda</w:t>
      </w:r>
      <w:r w:rsidR="0019027D">
        <w:rPr>
          <w:rFonts w:hint="eastAsia"/>
          <w:lang w:eastAsia="ko-KR"/>
        </w:rPr>
        <w:t xml:space="preserve"> </w:t>
      </w:r>
      <w:r w:rsidR="0019027D">
        <w:rPr>
          <w:lang w:eastAsia="ko-KR"/>
        </w:rPr>
        <w:t>–</w:t>
      </w:r>
      <w:r w:rsidR="0019027D">
        <w:rPr>
          <w:rFonts w:hint="eastAsia"/>
          <w:lang w:eastAsia="ko-KR"/>
        </w:rPr>
        <w:t xml:space="preserve"> </w:t>
      </w:r>
      <w:r w:rsidR="0019027D" w:rsidRPr="00E540D6">
        <w:t xml:space="preserve">submitted </w:t>
      </w:r>
      <w:r>
        <w:t>semi-</w:t>
      </w:r>
      <w:r w:rsidR="0019027D" w:rsidRPr="00E540D6">
        <w:t xml:space="preserve">annual reports that covered activities </w:t>
      </w:r>
      <w:r w:rsidR="0019027D">
        <w:t>from the start of implementation until</w:t>
      </w:r>
      <w:r w:rsidR="0019027D" w:rsidRPr="00E540D6">
        <w:t xml:space="preserve"> </w:t>
      </w:r>
      <w:r>
        <w:t>June</w:t>
      </w:r>
      <w:r w:rsidR="0019027D" w:rsidRPr="00E540D6">
        <w:t xml:space="preserve"> 2025, detailing progress under the SOFF Investment Phase. </w:t>
      </w:r>
    </w:p>
    <w:p w14:paraId="17AB324A" w14:textId="6919D4E2" w:rsidR="00EE5698" w:rsidRPr="00EE5698" w:rsidRDefault="00A22F8E" w:rsidP="00EE5698">
      <w:pPr>
        <w:rPr>
          <w:rFonts w:eastAsia="Open Sans" w:cs="Open Sans"/>
        </w:rPr>
      </w:pPr>
      <w:r>
        <w:rPr>
          <w:rFonts w:eastAsia="Open Sans" w:cs="Open Sans"/>
        </w:rPr>
        <w:t>The</w:t>
      </w:r>
      <w:r w:rsidR="00690701">
        <w:rPr>
          <w:rFonts w:eastAsia="Open Sans" w:cs="Open Sans"/>
        </w:rPr>
        <w:t xml:space="preserve"> </w:t>
      </w:r>
      <w:r w:rsidR="0019027D" w:rsidRPr="1F292A06">
        <w:rPr>
          <w:rFonts w:eastAsia="Open Sans" w:cs="Open Sans"/>
        </w:rPr>
        <w:t>reports highlight</w:t>
      </w:r>
      <w:r w:rsidR="00690701">
        <w:rPr>
          <w:rFonts w:eastAsia="Open Sans" w:cs="Open Sans"/>
        </w:rPr>
        <w:t>ed</w:t>
      </w:r>
      <w:r w:rsidR="0019027D" w:rsidRPr="1F292A06">
        <w:rPr>
          <w:rFonts w:eastAsia="Open Sans" w:cs="Open Sans"/>
        </w:rPr>
        <w:t xml:space="preserve"> progress </w:t>
      </w:r>
      <w:r w:rsidR="1673A9D1" w:rsidRPr="306A31BA">
        <w:rPr>
          <w:rFonts w:eastAsia="Open Sans" w:cs="Open Sans"/>
        </w:rPr>
        <w:t>‘</w:t>
      </w:r>
      <w:r w:rsidR="00690701">
        <w:rPr>
          <w:rFonts w:eastAsia="Open Sans" w:cs="Open Sans"/>
        </w:rPr>
        <w:t xml:space="preserve">on </w:t>
      </w:r>
      <w:r w:rsidR="00690701" w:rsidRPr="306A31BA">
        <w:rPr>
          <w:rFonts w:eastAsia="Open Sans" w:cs="Open Sans"/>
        </w:rPr>
        <w:t>track</w:t>
      </w:r>
      <w:r w:rsidR="085A32B2" w:rsidRPr="306A31BA">
        <w:rPr>
          <w:rFonts w:eastAsia="Open Sans" w:cs="Open Sans"/>
        </w:rPr>
        <w:t>’</w:t>
      </w:r>
      <w:r w:rsidR="00690701" w:rsidRPr="00690701">
        <w:t xml:space="preserve"> </w:t>
      </w:r>
      <w:r w:rsidR="00690701">
        <w:t xml:space="preserve">and key updates on </w:t>
      </w:r>
      <w:r w:rsidR="00690701" w:rsidRPr="00690701">
        <w:rPr>
          <w:rFonts w:eastAsia="Open Sans" w:cs="Open Sans"/>
        </w:rPr>
        <w:t>procurement preparations,</w:t>
      </w:r>
      <w:r w:rsidR="00690701">
        <w:rPr>
          <w:rFonts w:eastAsia="Open Sans" w:cs="Open Sans"/>
        </w:rPr>
        <w:t xml:space="preserve"> </w:t>
      </w:r>
      <w:r w:rsidR="0019027D" w:rsidRPr="1F292A06">
        <w:rPr>
          <w:rFonts w:eastAsia="Open Sans" w:cs="Open Sans"/>
        </w:rPr>
        <w:t>setting up of Project Management Unit</w:t>
      </w:r>
      <w:r w:rsidR="0019027D" w:rsidRPr="5976D0A4">
        <w:rPr>
          <w:rFonts w:eastAsia="Open Sans" w:cs="Open Sans"/>
        </w:rPr>
        <w:t>s</w:t>
      </w:r>
      <w:r w:rsidR="0019027D" w:rsidRPr="1F292A06">
        <w:rPr>
          <w:rFonts w:eastAsia="Open Sans" w:cs="Open Sans"/>
        </w:rPr>
        <w:t xml:space="preserve">, institutional strengthening, </w:t>
      </w:r>
      <w:r w:rsidR="0019027D">
        <w:t>building</w:t>
      </w:r>
      <w:r w:rsidR="0019027D" w:rsidRPr="1F292A06">
        <w:rPr>
          <w:rFonts w:eastAsia="Open Sans" w:cs="Open Sans"/>
        </w:rPr>
        <w:t xml:space="preserve"> collaborative partnerships, and</w:t>
      </w:r>
      <w:r w:rsidR="0019027D" w:rsidRPr="1C958B29">
        <w:rPr>
          <w:rFonts w:eastAsia="Open Sans" w:cs="Open Sans"/>
        </w:rPr>
        <w:t xml:space="preserve"> preparing tenders for procurement of relevant </w:t>
      </w:r>
      <w:r w:rsidR="0019027D" w:rsidRPr="78C2DE4F">
        <w:rPr>
          <w:rFonts w:eastAsia="Open Sans" w:cs="Open Sans"/>
        </w:rPr>
        <w:t xml:space="preserve">infrastructure and </w:t>
      </w:r>
      <w:r w:rsidR="0019027D" w:rsidRPr="4E7717B2">
        <w:rPr>
          <w:rFonts w:eastAsia="Open Sans" w:cs="Open Sans"/>
        </w:rPr>
        <w:t>data sharing</w:t>
      </w:r>
      <w:r w:rsidR="0019027D" w:rsidRPr="78C2DE4F">
        <w:rPr>
          <w:rFonts w:eastAsia="Open Sans" w:cs="Open Sans"/>
        </w:rPr>
        <w:t xml:space="preserve"> </w:t>
      </w:r>
      <w:r w:rsidR="0019027D" w:rsidRPr="4B94193C">
        <w:rPr>
          <w:rFonts w:eastAsia="Open Sans" w:cs="Open Sans"/>
        </w:rPr>
        <w:t>software</w:t>
      </w:r>
      <w:r w:rsidR="0019027D" w:rsidRPr="66270245">
        <w:rPr>
          <w:rFonts w:eastAsia="Open Sans" w:cs="Open Sans"/>
        </w:rPr>
        <w:t xml:space="preserve">, including for the </w:t>
      </w:r>
      <w:r w:rsidR="0019027D" w:rsidRPr="4B94193C">
        <w:rPr>
          <w:rFonts w:eastAsia="Open Sans" w:cs="Open Sans"/>
        </w:rPr>
        <w:t>implementation</w:t>
      </w:r>
      <w:r w:rsidR="0019027D" w:rsidRPr="66270245">
        <w:rPr>
          <w:rFonts w:eastAsia="Open Sans" w:cs="Open Sans"/>
        </w:rPr>
        <w:t xml:space="preserve"> of</w:t>
      </w:r>
      <w:r w:rsidR="0019027D" w:rsidRPr="1F292A06" w:rsidDel="5E23A86A">
        <w:rPr>
          <w:rFonts w:eastAsia="Open Sans" w:cs="Open Sans"/>
        </w:rPr>
        <w:t xml:space="preserve"> </w:t>
      </w:r>
      <w:r w:rsidR="0019027D" w:rsidRPr="1F292A06">
        <w:rPr>
          <w:rFonts w:eastAsia="Open Sans" w:cs="Open Sans"/>
        </w:rPr>
        <w:t xml:space="preserve">WIS2.0. </w:t>
      </w:r>
      <w:r w:rsidR="00EE5698" w:rsidRPr="00EE5698">
        <w:rPr>
          <w:rFonts w:eastAsia="Open Sans" w:cs="Open Sans"/>
        </w:rPr>
        <w:t>Most</w:t>
      </w:r>
      <w:r w:rsidR="0019027D" w:rsidRPr="1F292A06">
        <w:rPr>
          <w:rFonts w:eastAsia="Open Sans" w:cs="Open Sans"/>
        </w:rPr>
        <w:t xml:space="preserve"> countries are currently in the procurement phase</w:t>
      </w:r>
      <w:r w:rsidR="580B12E8" w:rsidRPr="112580C2">
        <w:rPr>
          <w:rFonts w:eastAsia="Open Sans" w:cs="Open Sans"/>
        </w:rPr>
        <w:t xml:space="preserve"> for investments</w:t>
      </w:r>
      <w:r w:rsidR="0019027D" w:rsidRPr="00EE5698">
        <w:rPr>
          <w:rFonts w:eastAsia="Open Sans" w:cs="Open Sans"/>
        </w:rPr>
        <w:t xml:space="preserve"> in their GBON </w:t>
      </w:r>
      <w:r w:rsidR="580B12E8" w:rsidRPr="112580C2">
        <w:rPr>
          <w:rFonts w:eastAsia="Open Sans" w:cs="Open Sans"/>
        </w:rPr>
        <w:t>network</w:t>
      </w:r>
      <w:r w:rsidR="00EE5698" w:rsidRPr="00EE5698">
        <w:rPr>
          <w:rFonts w:eastAsia="Open Sans" w:cs="Open Sans"/>
        </w:rPr>
        <w:t>, with a few exceptions where activities are still at earlier stages (Cabo Verde, Belize, Timor Leste, and Uganda).</w:t>
      </w:r>
    </w:p>
    <w:p w14:paraId="1DB50478" w14:textId="77777777" w:rsidR="00EE5698" w:rsidRPr="00EE5698" w:rsidRDefault="00EE5698" w:rsidP="00EE5698">
      <w:pPr>
        <w:numPr>
          <w:ilvl w:val="0"/>
          <w:numId w:val="5"/>
        </w:numPr>
        <w:rPr>
          <w:rFonts w:eastAsia="Open Sans" w:cs="Open Sans"/>
        </w:rPr>
      </w:pPr>
      <w:r w:rsidRPr="00EE5698">
        <w:rPr>
          <w:rFonts w:eastAsia="Open Sans" w:cs="Open Sans"/>
          <w:b/>
        </w:rPr>
        <w:t>Bhutan:</w:t>
      </w:r>
      <w:r w:rsidRPr="00EE5698">
        <w:rPr>
          <w:rFonts w:eastAsia="Open Sans" w:cs="Open Sans"/>
        </w:rPr>
        <w:t xml:space="preserve"> Technical specifications finalized; procurement packages developed for WIS, CDMS, AWOS server, network upgrades, backup generator, and upper-air station. Tsirang upper-air station planning ongoing.</w:t>
      </w:r>
    </w:p>
    <w:p w14:paraId="4479434A" w14:textId="77777777" w:rsidR="00EE5698" w:rsidRPr="00EE5698" w:rsidRDefault="00EE5698" w:rsidP="00EE5698">
      <w:pPr>
        <w:numPr>
          <w:ilvl w:val="0"/>
          <w:numId w:val="5"/>
        </w:numPr>
        <w:rPr>
          <w:rFonts w:eastAsia="Open Sans" w:cs="Open Sans"/>
        </w:rPr>
      </w:pPr>
      <w:r w:rsidRPr="00EE5698">
        <w:rPr>
          <w:rFonts w:eastAsia="Open Sans" w:cs="Open Sans"/>
          <w:b/>
        </w:rPr>
        <w:t>Chad:</w:t>
      </w:r>
      <w:r w:rsidRPr="00EE5698">
        <w:rPr>
          <w:rFonts w:eastAsia="Open Sans" w:cs="Open Sans"/>
        </w:rPr>
        <w:t xml:space="preserve"> Long-Term Agreement for meteorological equipment being finalized with WFP and UNDP.</w:t>
      </w:r>
    </w:p>
    <w:p w14:paraId="7B174399" w14:textId="77777777" w:rsidR="00EE5698" w:rsidRPr="00EE5698" w:rsidRDefault="00EE5698" w:rsidP="00EE5698">
      <w:pPr>
        <w:numPr>
          <w:ilvl w:val="0"/>
          <w:numId w:val="5"/>
        </w:numPr>
        <w:rPr>
          <w:rFonts w:eastAsia="Open Sans" w:cs="Open Sans"/>
        </w:rPr>
      </w:pPr>
      <w:r w:rsidRPr="00EE5698">
        <w:rPr>
          <w:rFonts w:eastAsia="Open Sans" w:cs="Open Sans"/>
          <w:b/>
        </w:rPr>
        <w:lastRenderedPageBreak/>
        <w:t>Ethiopia:</w:t>
      </w:r>
      <w:r w:rsidRPr="00EE5698">
        <w:rPr>
          <w:rFonts w:eastAsia="Open Sans" w:cs="Open Sans"/>
        </w:rPr>
        <w:t xml:space="preserve"> Procurement of 13 new land-based stations and upgrades of 16 existing stations underway via UNDP.</w:t>
      </w:r>
    </w:p>
    <w:p w14:paraId="46893CFE" w14:textId="77777777" w:rsidR="00EE5698" w:rsidRPr="00EE5698" w:rsidRDefault="00EE5698" w:rsidP="00EE5698">
      <w:pPr>
        <w:numPr>
          <w:ilvl w:val="0"/>
          <w:numId w:val="5"/>
        </w:numPr>
        <w:rPr>
          <w:rFonts w:eastAsia="Open Sans" w:cs="Open Sans"/>
        </w:rPr>
      </w:pPr>
      <w:r w:rsidRPr="00EE5698">
        <w:rPr>
          <w:rFonts w:eastAsia="Open Sans" w:cs="Open Sans"/>
          <w:b/>
        </w:rPr>
        <w:t>Kiribati:</w:t>
      </w:r>
      <w:r w:rsidRPr="00EE5698">
        <w:rPr>
          <w:rFonts w:eastAsia="Open Sans" w:cs="Open Sans"/>
        </w:rPr>
        <w:t xml:space="preserve"> Preparatory work includes land feasibility assessments, permissions, ministry submissions, site surveys, civil works design, MoU signing, and procurement.</w:t>
      </w:r>
    </w:p>
    <w:p w14:paraId="19F5B238" w14:textId="77777777" w:rsidR="00EE5698" w:rsidRPr="00EE5698" w:rsidRDefault="00EE5698" w:rsidP="00EE5698">
      <w:pPr>
        <w:numPr>
          <w:ilvl w:val="0"/>
          <w:numId w:val="5"/>
        </w:numPr>
        <w:rPr>
          <w:rFonts w:eastAsia="Open Sans" w:cs="Open Sans"/>
        </w:rPr>
      </w:pPr>
      <w:r w:rsidRPr="00EE5698">
        <w:rPr>
          <w:rFonts w:eastAsia="Open Sans" w:cs="Open Sans"/>
          <w:b/>
        </w:rPr>
        <w:t>Maldives:</w:t>
      </w:r>
      <w:r w:rsidRPr="00EE5698">
        <w:rPr>
          <w:rFonts w:eastAsia="Open Sans" w:cs="Open Sans"/>
        </w:rPr>
        <w:t xml:space="preserve"> Procurement packages being prepared for one new AWS, rehabilitation of four existing AWS, and civil works; upper-air planning underway for Year 3 implementation.</w:t>
      </w:r>
    </w:p>
    <w:p w14:paraId="01C2CEF0" w14:textId="77777777" w:rsidR="00EE5698" w:rsidRPr="00EE5698" w:rsidRDefault="00EE5698" w:rsidP="00EE5698">
      <w:pPr>
        <w:numPr>
          <w:ilvl w:val="0"/>
          <w:numId w:val="5"/>
        </w:numPr>
        <w:rPr>
          <w:rFonts w:eastAsia="Open Sans" w:cs="Open Sans"/>
        </w:rPr>
      </w:pPr>
      <w:r w:rsidRPr="00EE5698">
        <w:rPr>
          <w:rFonts w:eastAsia="Open Sans" w:cs="Open Sans"/>
          <w:b/>
        </w:rPr>
        <w:t>Mozambique:</w:t>
      </w:r>
      <w:r w:rsidRPr="00EE5698">
        <w:rPr>
          <w:rFonts w:eastAsia="Open Sans" w:cs="Open Sans"/>
        </w:rPr>
        <w:t xml:space="preserve"> Procurement ongoing for new land-based stations and upper-air station; WisBox installed at INAM for improved stations; upper-air construction expected in 2026.</w:t>
      </w:r>
    </w:p>
    <w:p w14:paraId="29897055" w14:textId="77777777" w:rsidR="00EE5698" w:rsidRPr="00EE5698" w:rsidRDefault="00EE5698" w:rsidP="00EE5698">
      <w:pPr>
        <w:numPr>
          <w:ilvl w:val="0"/>
          <w:numId w:val="5"/>
        </w:numPr>
        <w:rPr>
          <w:rFonts w:eastAsia="Open Sans" w:cs="Open Sans"/>
        </w:rPr>
      </w:pPr>
      <w:r w:rsidRPr="00EE5698">
        <w:rPr>
          <w:rFonts w:eastAsia="Open Sans" w:cs="Open Sans"/>
          <w:b/>
        </w:rPr>
        <w:t>Rwanda:</w:t>
      </w:r>
      <w:r w:rsidRPr="00EE5698">
        <w:rPr>
          <w:rFonts w:eastAsia="Open Sans" w:cs="Open Sans"/>
        </w:rPr>
        <w:t xml:space="preserve"> Three land-based stations upgraded; integrated into WIS2; procurement for new upper-air stations started.</w:t>
      </w:r>
    </w:p>
    <w:p w14:paraId="18A727A1" w14:textId="77777777" w:rsidR="00EE5698" w:rsidRPr="00EE5698" w:rsidRDefault="00EE5698" w:rsidP="00EE5698">
      <w:pPr>
        <w:numPr>
          <w:ilvl w:val="0"/>
          <w:numId w:val="5"/>
        </w:numPr>
        <w:rPr>
          <w:rFonts w:eastAsia="Open Sans" w:cs="Open Sans"/>
        </w:rPr>
      </w:pPr>
      <w:r w:rsidRPr="00EE5698">
        <w:rPr>
          <w:rFonts w:eastAsia="Open Sans" w:cs="Open Sans"/>
          <w:b/>
        </w:rPr>
        <w:t>Solomon Islands:</w:t>
      </w:r>
      <w:r w:rsidRPr="00EE5698">
        <w:rPr>
          <w:rFonts w:eastAsia="Open Sans" w:cs="Open Sans"/>
        </w:rPr>
        <w:t xml:space="preserve"> Procurement of AWS and manual equipment for eight observation sites underway.</w:t>
      </w:r>
    </w:p>
    <w:p w14:paraId="5FA7FF30" w14:textId="77777777" w:rsidR="00EE5698" w:rsidRPr="00EE5698" w:rsidRDefault="00EE5698" w:rsidP="00EE5698">
      <w:pPr>
        <w:numPr>
          <w:ilvl w:val="0"/>
          <w:numId w:val="5"/>
        </w:numPr>
        <w:rPr>
          <w:rFonts w:eastAsia="Open Sans" w:cs="Open Sans"/>
        </w:rPr>
      </w:pPr>
      <w:r w:rsidRPr="00EE5698">
        <w:rPr>
          <w:rFonts w:eastAsia="Open Sans" w:cs="Open Sans"/>
          <w:b/>
        </w:rPr>
        <w:t>Tanzania:</w:t>
      </w:r>
      <w:r w:rsidRPr="00EE5698">
        <w:rPr>
          <w:rFonts w:eastAsia="Open Sans" w:cs="Open Sans"/>
        </w:rPr>
        <w:t xml:space="preserve"> Equipment procurement for seven land-based stations evaluated; upper-air station materials under solicitation.</w:t>
      </w:r>
    </w:p>
    <w:p w14:paraId="4AF5BB04" w14:textId="77777777" w:rsidR="00EE5698" w:rsidRPr="00EE5698" w:rsidRDefault="00EE5698" w:rsidP="00EE5698">
      <w:pPr>
        <w:numPr>
          <w:ilvl w:val="0"/>
          <w:numId w:val="5"/>
        </w:numPr>
        <w:rPr>
          <w:rFonts w:eastAsia="Open Sans" w:cs="Open Sans"/>
        </w:rPr>
      </w:pPr>
      <w:r w:rsidRPr="00EE5698">
        <w:rPr>
          <w:rFonts w:eastAsia="Open Sans" w:cs="Open Sans"/>
          <w:b/>
        </w:rPr>
        <w:t>Cabo Verde, Belize, Timor Leste, Uganda:</w:t>
      </w:r>
      <w:r w:rsidRPr="00EE5698">
        <w:rPr>
          <w:rFonts w:eastAsia="Open Sans" w:cs="Open Sans"/>
        </w:rPr>
        <w:t xml:space="preserve"> No procurement activities currently reported.</w:t>
      </w:r>
    </w:p>
    <w:p w14:paraId="0D3D8980" w14:textId="449E7108" w:rsidR="0019027D" w:rsidRPr="00690701" w:rsidRDefault="0019027D" w:rsidP="0019027D">
      <w:pPr>
        <w:rPr>
          <w:rFonts w:eastAsia="Open Sans" w:cs="Open Sans"/>
        </w:rPr>
      </w:pPr>
      <w:r w:rsidRPr="00857C79">
        <w:t xml:space="preserve">Figure </w:t>
      </w:r>
      <w:r w:rsidR="00857C79" w:rsidRPr="00857C79">
        <w:rPr>
          <w:lang w:eastAsia="ko-KR"/>
        </w:rPr>
        <w:t>3</w:t>
      </w:r>
      <w:r w:rsidRPr="00857C79">
        <w:t xml:space="preserve"> below </w:t>
      </w:r>
      <w:r w:rsidRPr="00857C79">
        <w:rPr>
          <w:rFonts w:hint="eastAsia"/>
          <w:lang w:eastAsia="ko-KR"/>
        </w:rPr>
        <w:t>summarizes</w:t>
      </w:r>
      <w:r w:rsidRPr="00857C79">
        <w:t xml:space="preserve"> the progress made in implementing key activities across all Investment Phase countries</w:t>
      </w:r>
      <w:r>
        <w:rPr>
          <w:rFonts w:hint="eastAsia"/>
          <w:lang w:eastAsia="ko-KR"/>
        </w:rPr>
        <w:t xml:space="preserve"> </w:t>
      </w:r>
      <w:r>
        <w:rPr>
          <w:lang w:val="en-US" w:eastAsia="ko-KR"/>
        </w:rPr>
        <w:t xml:space="preserve">Further information on the implementation </w:t>
      </w:r>
      <w:r w:rsidRPr="09CA8A4C">
        <w:rPr>
          <w:lang w:val="en-US" w:eastAsia="ko-KR"/>
        </w:rPr>
        <w:t xml:space="preserve">progress </w:t>
      </w:r>
      <w:r>
        <w:rPr>
          <w:lang w:val="en-US" w:eastAsia="ko-KR"/>
        </w:rPr>
        <w:t>per country is available in Annex 4.</w:t>
      </w:r>
    </w:p>
    <w:p w14:paraId="0CD0B79D" w14:textId="77777777" w:rsidR="0019027D" w:rsidRPr="00300B7C" w:rsidRDefault="0019027D" w:rsidP="0019027D">
      <w:pPr>
        <w:keepNext/>
        <w:rPr>
          <w:color w:val="FFFFFF" w:themeColor="background1"/>
        </w:rPr>
      </w:pPr>
      <w:r w:rsidRPr="009A59CE">
        <w:rPr>
          <w:noProof/>
        </w:rPr>
        <w:drawing>
          <wp:inline distT="0" distB="0" distL="0" distR="0" wp14:anchorId="2F88D5F5" wp14:editId="086D5865">
            <wp:extent cx="5759532" cy="1850293"/>
            <wp:effectExtent l="0" t="0" r="0" b="0"/>
            <wp:docPr id="2091399505" name="Chart 1">
              <a:extLst xmlns:a="http://schemas.openxmlformats.org/drawingml/2006/main">
                <a:ext uri="{FF2B5EF4-FFF2-40B4-BE49-F238E27FC236}">
                  <a16:creationId xmlns:a16="http://schemas.microsoft.com/office/drawing/2014/main" id="{2E0B0EFD-49FF-6558-8185-26EFCC7992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20B9C8" w14:textId="7C9BC2FE" w:rsidR="0019027D" w:rsidRPr="0078616B" w:rsidRDefault="0019027D" w:rsidP="0019027D">
      <w:pPr>
        <w:pStyle w:val="Caption"/>
        <w:jc w:val="center"/>
        <w:rPr>
          <w:color w:val="FFFFFF" w:themeColor="background1"/>
        </w:rPr>
      </w:pPr>
      <w:r w:rsidRPr="00866A6D">
        <w:rPr>
          <w:b/>
          <w:bCs/>
        </w:rPr>
        <w:t xml:space="preserve">Figure </w:t>
      </w:r>
      <w:r w:rsidR="00857C79">
        <w:rPr>
          <w:b/>
        </w:rPr>
        <w:t>3</w:t>
      </w:r>
      <w:r w:rsidRPr="00866A6D">
        <w:rPr>
          <w:b/>
          <w:bCs/>
          <w:lang w:eastAsia="ko-KR"/>
        </w:rPr>
        <w:t>.</w:t>
      </w:r>
      <w:r>
        <w:rPr>
          <w:rFonts w:hint="eastAsia"/>
          <w:lang w:eastAsia="ko-KR"/>
        </w:rPr>
        <w:t xml:space="preserve"> </w:t>
      </w:r>
      <w:r w:rsidRPr="000E50F0">
        <w:rPr>
          <w:lang w:eastAsia="ko-KR"/>
        </w:rPr>
        <w:t>Summary of status of implementation in countries under Investment phase.</w:t>
      </w:r>
    </w:p>
    <w:p w14:paraId="41DE50E0" w14:textId="26F28621" w:rsidR="0019027D" w:rsidRDefault="3C355D1B" w:rsidP="0019027D">
      <w:pPr>
        <w:pStyle w:val="Heading2"/>
      </w:pPr>
      <w:bookmarkStart w:id="13" w:name="_Toc196471704"/>
      <w:bookmarkStart w:id="14" w:name="_Toc824160555"/>
      <w:r>
        <w:lastRenderedPageBreak/>
        <w:t xml:space="preserve">3.3 </w:t>
      </w:r>
      <w:r w:rsidR="0019027D">
        <w:t>Lessons learned</w:t>
      </w:r>
      <w:bookmarkEnd w:id="13"/>
      <w:bookmarkEnd w:id="14"/>
    </w:p>
    <w:p w14:paraId="0C0BA53A" w14:textId="55DCB2DE" w:rsidR="00165688" w:rsidRPr="00165688" w:rsidRDefault="00165688" w:rsidP="00165688">
      <w:r w:rsidRPr="00165688">
        <w:t xml:space="preserve">The </w:t>
      </w:r>
      <w:r w:rsidR="29FF9C2C">
        <w:t xml:space="preserve">semi-annual reports </w:t>
      </w:r>
      <w:r>
        <w:t>ha</w:t>
      </w:r>
      <w:r w:rsidR="3BFE4E9B">
        <w:t>ve</w:t>
      </w:r>
      <w:r>
        <w:t xml:space="preserve"> </w:t>
      </w:r>
      <w:r w:rsidRPr="00165688">
        <w:t xml:space="preserve">provided valuable insights into the enabling factors </w:t>
      </w:r>
      <w:r w:rsidR="52D7B499">
        <w:t xml:space="preserve">and operational </w:t>
      </w:r>
      <w:r>
        <w:t xml:space="preserve">challenges </w:t>
      </w:r>
      <w:r w:rsidR="4CA0477A">
        <w:t xml:space="preserve">that are </w:t>
      </w:r>
      <w:r w:rsidRPr="00165688">
        <w:t xml:space="preserve">influencing the implementation of </w:t>
      </w:r>
      <w:r w:rsidR="25080414">
        <w:t xml:space="preserve">the </w:t>
      </w:r>
      <w:r w:rsidRPr="00165688">
        <w:t xml:space="preserve">SOFF Investment </w:t>
      </w:r>
      <w:r w:rsidR="764E92AD">
        <w:t>p</w:t>
      </w:r>
      <w:r>
        <w:t xml:space="preserve">hase </w:t>
      </w:r>
      <w:r w:rsidR="51D623D7">
        <w:t>portfolio</w:t>
      </w:r>
      <w:r>
        <w:t>.</w:t>
      </w:r>
      <w:r w:rsidRPr="00165688">
        <w:t xml:space="preserve"> The following lessons have emerged:</w:t>
      </w:r>
    </w:p>
    <w:p w14:paraId="53C2BFA7" w14:textId="5B14C2BF" w:rsidR="00B604AB" w:rsidRPr="00165688" w:rsidRDefault="00B604AB" w:rsidP="00B604AB">
      <w:pPr>
        <w:rPr>
          <w:b/>
        </w:rPr>
      </w:pPr>
      <w:r>
        <w:rPr>
          <w:b/>
        </w:rPr>
        <w:t>1</w:t>
      </w:r>
      <w:r w:rsidRPr="00165688">
        <w:rPr>
          <w:b/>
        </w:rPr>
        <w:t xml:space="preserve">. </w:t>
      </w:r>
      <w:r>
        <w:rPr>
          <w:b/>
        </w:rPr>
        <w:t>Enhanced</w:t>
      </w:r>
      <w:r w:rsidRPr="00165688">
        <w:rPr>
          <w:b/>
        </w:rPr>
        <w:t xml:space="preserve"> Coordination </w:t>
      </w:r>
    </w:p>
    <w:p w14:paraId="5C44BAE5" w14:textId="70F2FE68" w:rsidR="00B604AB" w:rsidRPr="00B604AB" w:rsidRDefault="00B604AB" w:rsidP="00165688">
      <w:r w:rsidRPr="00165688">
        <w:t xml:space="preserve">Regular coordination meetings among </w:t>
      </w:r>
      <w:r w:rsidR="5EA5A44D">
        <w:t>I</w:t>
      </w:r>
      <w:r>
        <w:t xml:space="preserve">mplementing </w:t>
      </w:r>
      <w:r w:rsidR="4D565AED">
        <w:t>E</w:t>
      </w:r>
      <w:r>
        <w:t>ntities</w:t>
      </w:r>
      <w:r w:rsidRPr="00165688">
        <w:t xml:space="preserve">, peer advisors, and </w:t>
      </w:r>
      <w:r w:rsidR="008F75E9" w:rsidRPr="00A51F76">
        <w:rPr>
          <w:lang w:eastAsia="ko-KR"/>
        </w:rPr>
        <w:t>National Meteorological and Hydrological Services (NMHSs)</w:t>
      </w:r>
      <w:r w:rsidR="008F75E9">
        <w:rPr>
          <w:lang w:eastAsia="ko-KR"/>
        </w:rPr>
        <w:t xml:space="preserve"> together with other key </w:t>
      </w:r>
      <w:r w:rsidRPr="00165688">
        <w:t>national stakeholders</w:t>
      </w:r>
      <w:r>
        <w:t xml:space="preserve"> </w:t>
      </w:r>
      <w:r w:rsidRPr="00165688">
        <w:t>such as those in Bhutan, Cabo Verde, and Rwanda</w:t>
      </w:r>
      <w:r>
        <w:t xml:space="preserve">, </w:t>
      </w:r>
      <w:r w:rsidRPr="00165688">
        <w:t>have proven effective in maintaining alignment, resolving issues promptly, and ensuring shared ownership of project milestones.</w:t>
      </w:r>
    </w:p>
    <w:p w14:paraId="75661174" w14:textId="290AADB6" w:rsidR="00165688" w:rsidRPr="00165688" w:rsidRDefault="00165688" w:rsidP="00165688">
      <w:pPr>
        <w:rPr>
          <w:b/>
        </w:rPr>
      </w:pPr>
      <w:r>
        <w:rPr>
          <w:b/>
        </w:rPr>
        <w:t xml:space="preserve">2. </w:t>
      </w:r>
      <w:r w:rsidR="00B604AB" w:rsidRPr="00B604AB">
        <w:rPr>
          <w:b/>
        </w:rPr>
        <w:t>Staffing Should Start Early</w:t>
      </w:r>
    </w:p>
    <w:p w14:paraId="67B87318" w14:textId="64D56F68" w:rsidR="00165688" w:rsidRDefault="00165688" w:rsidP="00165688">
      <w:r w:rsidRPr="00165688">
        <w:t xml:space="preserve">Several countries experienced setbacks due to delays in staffing </w:t>
      </w:r>
      <w:r w:rsidR="63E16BC4">
        <w:t xml:space="preserve">of their </w:t>
      </w:r>
      <w:r w:rsidRPr="00165688">
        <w:t xml:space="preserve">Project Management Units (PMUs) and technical teams. Early initiation of recruitment processes, coupled with interim staffing solutions where necessary, is essential to maintain momentum and </w:t>
      </w:r>
      <w:r w:rsidR="0197FF31">
        <w:t>advance</w:t>
      </w:r>
      <w:r w:rsidRPr="00165688">
        <w:t xml:space="preserve"> implementation.</w:t>
      </w:r>
    </w:p>
    <w:p w14:paraId="6063CB5E" w14:textId="3574CBD0" w:rsidR="00B604AB" w:rsidRPr="00165688" w:rsidRDefault="00B604AB" w:rsidP="00B604AB">
      <w:pPr>
        <w:rPr>
          <w:b/>
        </w:rPr>
      </w:pPr>
      <w:r>
        <w:rPr>
          <w:b/>
        </w:rPr>
        <w:t>3</w:t>
      </w:r>
      <w:r w:rsidRPr="00165688">
        <w:rPr>
          <w:b/>
        </w:rPr>
        <w:t xml:space="preserve">. </w:t>
      </w:r>
      <w:r>
        <w:rPr>
          <w:b/>
        </w:rPr>
        <w:t xml:space="preserve">Streamlining </w:t>
      </w:r>
      <w:r w:rsidRPr="00165688">
        <w:rPr>
          <w:b/>
        </w:rPr>
        <w:t xml:space="preserve">Legal and Administrative </w:t>
      </w:r>
      <w:r>
        <w:rPr>
          <w:b/>
        </w:rPr>
        <w:t>Process</w:t>
      </w:r>
    </w:p>
    <w:p w14:paraId="7C6C436E" w14:textId="3E4E23BA" w:rsidR="00B604AB" w:rsidRPr="00165688" w:rsidRDefault="0013673C" w:rsidP="00165688">
      <w:r w:rsidRPr="0013673C">
        <w:t xml:space="preserve">Delays in the approval of agreements between Implementing Entities and National Meteorological and Hydrological Services (NMHSs), as well as prolonged legal reviews, have hindered progress in several countries. </w:t>
      </w:r>
      <w:r w:rsidR="00B604AB" w:rsidRPr="00B604AB">
        <w:t>Early engagement with legal and financial authorities, along with clear review timelines and escalation mechanisms, is essential to avoid administrative bottlenecks.</w:t>
      </w:r>
    </w:p>
    <w:p w14:paraId="20F6707C" w14:textId="7E7EF07F" w:rsidR="00165688" w:rsidRPr="00165688" w:rsidRDefault="00165688" w:rsidP="00165688">
      <w:pPr>
        <w:numPr>
          <w:ilvl w:val="0"/>
          <w:numId w:val="1"/>
        </w:numPr>
        <w:rPr>
          <w:b/>
        </w:rPr>
      </w:pPr>
      <w:r w:rsidRPr="00165688">
        <w:rPr>
          <w:b/>
        </w:rPr>
        <w:t xml:space="preserve">Infrastructure Planning </w:t>
      </w:r>
    </w:p>
    <w:p w14:paraId="2946136C" w14:textId="78287B5F" w:rsidR="00165688" w:rsidRPr="00165688" w:rsidRDefault="00165688" w:rsidP="00165688">
      <w:r w:rsidRPr="00165688">
        <w:t xml:space="preserve">Successful progress in infrastructure development, as seen in </w:t>
      </w:r>
      <w:r w:rsidR="00B604AB">
        <w:t>some countries</w:t>
      </w:r>
      <w:r w:rsidR="1A35C79C">
        <w:t>, was</w:t>
      </w:r>
      <w:r w:rsidRPr="00165688">
        <w:t xml:space="preserve"> underpinned by early feasibility assessments, environmental and social safeguards, and engagement with local authorities. These steps are critical to securing land access, ensuring compliance, and avoiding delays in civil works.</w:t>
      </w:r>
    </w:p>
    <w:p w14:paraId="0D2A3F04" w14:textId="4045F475" w:rsidR="00165688" w:rsidRPr="00165688" w:rsidRDefault="00165688" w:rsidP="00165688">
      <w:pPr>
        <w:numPr>
          <w:ilvl w:val="0"/>
          <w:numId w:val="1"/>
        </w:numPr>
        <w:rPr>
          <w:b/>
        </w:rPr>
      </w:pPr>
      <w:r w:rsidRPr="00165688">
        <w:rPr>
          <w:b/>
        </w:rPr>
        <w:t xml:space="preserve">Capacity Building </w:t>
      </w:r>
    </w:p>
    <w:p w14:paraId="28C031EF" w14:textId="09F8FDE9" w:rsidR="00165688" w:rsidRDefault="00165688" w:rsidP="00165688">
      <w:r w:rsidRPr="00165688">
        <w:t>Hands-on technical training, study visits, and institutional strengthening activities</w:t>
      </w:r>
      <w:r>
        <w:t xml:space="preserve">, </w:t>
      </w:r>
      <w:r w:rsidRPr="00165688">
        <w:t>reported in Bhutan, Rwanda, and Tanzania</w:t>
      </w:r>
      <w:r>
        <w:t xml:space="preserve">, </w:t>
      </w:r>
      <w:r w:rsidRPr="00165688">
        <w:t>have enhanced national capacity to manage and sustain meteorological infrastructure. Continuous investment in human capital is essential for long-term impact.</w:t>
      </w:r>
    </w:p>
    <w:p w14:paraId="2C879A99" w14:textId="33D8C126" w:rsidR="00B604AB" w:rsidRPr="00165688" w:rsidRDefault="00B604AB" w:rsidP="00B604AB">
      <w:pPr>
        <w:rPr>
          <w:b/>
        </w:rPr>
      </w:pPr>
      <w:r>
        <w:rPr>
          <w:b/>
        </w:rPr>
        <w:t>6.</w:t>
      </w:r>
      <w:r w:rsidRPr="00165688">
        <w:rPr>
          <w:b/>
        </w:rPr>
        <w:t xml:space="preserve"> Gender Inclusion </w:t>
      </w:r>
    </w:p>
    <w:p w14:paraId="0C3B6904" w14:textId="6AE82B47" w:rsidR="00690701" w:rsidRPr="00857C79" w:rsidRDefault="00B604AB" w:rsidP="00857C79">
      <w:r w:rsidRPr="00165688">
        <w:t>Countries that integrated gender strategies into project planning</w:t>
      </w:r>
      <w:r>
        <w:t xml:space="preserve">, </w:t>
      </w:r>
      <w:r w:rsidRPr="00165688">
        <w:t>such as Chad and Kiribati</w:t>
      </w:r>
      <w:r>
        <w:t xml:space="preserve">, </w:t>
      </w:r>
      <w:r w:rsidRPr="00165688">
        <w:t xml:space="preserve">achieved or exceeded participation targets. Conversely, others reported </w:t>
      </w:r>
      <w:r w:rsidRPr="00165688">
        <w:lastRenderedPageBreak/>
        <w:t>persistent gaps. This underscores the need for dedicated gender action plans, inclusive training opportunities, and monitoring mechanisms to ensure equitable participation.</w:t>
      </w:r>
    </w:p>
    <w:p w14:paraId="612BA0DA" w14:textId="509FFD2E" w:rsidR="00DB7208" w:rsidRPr="004139EB" w:rsidRDefault="000C387F" w:rsidP="00DB7208">
      <w:pPr>
        <w:pStyle w:val="Heading2"/>
        <w:rPr>
          <w:lang w:eastAsia="ko-KR"/>
        </w:rPr>
      </w:pPr>
      <w:bookmarkStart w:id="15" w:name="_Toc196471705"/>
      <w:bookmarkStart w:id="16" w:name="_Toc838743900"/>
      <w:r w:rsidRPr="06553CDB">
        <w:rPr>
          <w:lang w:eastAsia="ko-KR"/>
        </w:rPr>
        <w:t>3.</w:t>
      </w:r>
      <w:r w:rsidR="281662A8" w:rsidRPr="06553CDB">
        <w:rPr>
          <w:lang w:eastAsia="ko-KR"/>
        </w:rPr>
        <w:t>4</w:t>
      </w:r>
      <w:r w:rsidRPr="06553CDB">
        <w:rPr>
          <w:lang w:eastAsia="ko-KR"/>
        </w:rPr>
        <w:t xml:space="preserve"> </w:t>
      </w:r>
      <w:r w:rsidR="00DB7208" w:rsidRPr="06553CDB">
        <w:rPr>
          <w:lang w:eastAsia="ko-KR"/>
        </w:rPr>
        <w:t>Update on MDBs serving as SOFF Implementing Entities</w:t>
      </w:r>
      <w:bookmarkEnd w:id="15"/>
      <w:bookmarkEnd w:id="16"/>
    </w:p>
    <w:p w14:paraId="21E34053" w14:textId="172DAF47" w:rsidR="00DB7208" w:rsidRPr="00401F83" w:rsidRDefault="00DB7208" w:rsidP="00DB7208">
      <w:pPr>
        <w:pStyle w:val="Caption"/>
        <w:keepNext/>
        <w:rPr>
          <w:color w:val="auto"/>
          <w:sz w:val="22"/>
          <w:szCs w:val="22"/>
          <w:lang w:eastAsia="ko-KR"/>
        </w:rPr>
      </w:pPr>
      <w:r w:rsidRPr="14FAF8EC">
        <w:rPr>
          <w:color w:val="auto"/>
          <w:sz w:val="22"/>
          <w:szCs w:val="22"/>
          <w:lang w:eastAsia="ko-KR"/>
        </w:rPr>
        <w:t xml:space="preserve">Among the </w:t>
      </w:r>
      <w:r w:rsidR="00557E3F">
        <w:rPr>
          <w:color w:val="auto"/>
          <w:sz w:val="22"/>
          <w:szCs w:val="22"/>
          <w:lang w:eastAsia="ko-KR"/>
        </w:rPr>
        <w:t>ten</w:t>
      </w:r>
      <w:r w:rsidRPr="14FAF8EC">
        <w:rPr>
          <w:color w:val="auto"/>
          <w:sz w:val="22"/>
          <w:szCs w:val="22"/>
          <w:lang w:eastAsia="ko-KR"/>
        </w:rPr>
        <w:t xml:space="preserve"> SOFF Implementing Entities</w:t>
      </w:r>
      <w:r w:rsidR="00915255">
        <w:rPr>
          <w:rStyle w:val="FootnoteReference"/>
          <w:color w:val="auto"/>
          <w:sz w:val="22"/>
          <w:szCs w:val="22"/>
          <w:lang w:eastAsia="ko-KR"/>
        </w:rPr>
        <w:footnoteReference w:id="3"/>
      </w:r>
      <w:r w:rsidRPr="14FAF8EC">
        <w:rPr>
          <w:color w:val="auto"/>
          <w:sz w:val="22"/>
          <w:szCs w:val="22"/>
          <w:lang w:eastAsia="ko-KR"/>
        </w:rPr>
        <w:t>, five are Multilateral Development Banks (MDBs</w:t>
      </w:r>
      <w:r w:rsidR="3E2625AA" w:rsidRPr="14FAF8EC">
        <w:rPr>
          <w:color w:val="auto"/>
          <w:sz w:val="22"/>
          <w:szCs w:val="22"/>
          <w:lang w:eastAsia="ko-KR"/>
        </w:rPr>
        <w:t>)</w:t>
      </w:r>
      <w:r w:rsidR="40848FEC" w:rsidRPr="14FAF8EC">
        <w:rPr>
          <w:color w:val="auto"/>
          <w:sz w:val="22"/>
          <w:szCs w:val="22"/>
          <w:lang w:eastAsia="ko-KR"/>
        </w:rPr>
        <w:t xml:space="preserve"> that </w:t>
      </w:r>
      <w:r w:rsidR="4319F2BB" w:rsidRPr="14FAF8EC">
        <w:rPr>
          <w:color w:val="auto"/>
          <w:sz w:val="22"/>
          <w:szCs w:val="22"/>
          <w:lang w:eastAsia="ko-KR"/>
        </w:rPr>
        <w:t>must</w:t>
      </w:r>
      <w:r w:rsidR="40848FEC" w:rsidRPr="14FAF8EC">
        <w:rPr>
          <w:color w:val="auto"/>
          <w:sz w:val="22"/>
          <w:szCs w:val="22"/>
          <w:lang w:eastAsia="ko-KR"/>
        </w:rPr>
        <w:t xml:space="preserve"> sign</w:t>
      </w:r>
      <w:r w:rsidRPr="14FAF8EC">
        <w:rPr>
          <w:color w:val="auto"/>
          <w:sz w:val="22"/>
          <w:szCs w:val="22"/>
          <w:lang w:eastAsia="ko-KR"/>
        </w:rPr>
        <w:t xml:space="preserve"> framework </w:t>
      </w:r>
      <w:r w:rsidR="3E2625AA" w:rsidRPr="14FAF8EC">
        <w:rPr>
          <w:color w:val="auto"/>
          <w:sz w:val="22"/>
          <w:szCs w:val="22"/>
          <w:lang w:eastAsia="ko-KR"/>
        </w:rPr>
        <w:t>agreement</w:t>
      </w:r>
      <w:r w:rsidR="4B1DFB64" w:rsidRPr="14FAF8EC">
        <w:rPr>
          <w:color w:val="auto"/>
          <w:sz w:val="22"/>
          <w:szCs w:val="22"/>
          <w:lang w:eastAsia="ko-KR"/>
        </w:rPr>
        <w:t>s</w:t>
      </w:r>
      <w:r w:rsidRPr="14FAF8EC">
        <w:rPr>
          <w:color w:val="auto"/>
          <w:sz w:val="22"/>
          <w:szCs w:val="22"/>
          <w:lang w:eastAsia="ko-KR"/>
        </w:rPr>
        <w:t xml:space="preserve"> with the UN MPTF Office.</w:t>
      </w:r>
    </w:p>
    <w:p w14:paraId="61C16555" w14:textId="2646BA19" w:rsidR="00401F83" w:rsidRDefault="00401F83" w:rsidP="00401F83">
      <w:pPr>
        <w:pStyle w:val="Caption"/>
        <w:keepNext/>
      </w:pPr>
      <w:r w:rsidRPr="00401F83">
        <w:rPr>
          <w:b/>
          <w:bCs/>
        </w:rPr>
        <w:t xml:space="preserve">Table </w:t>
      </w:r>
      <w:r w:rsidRPr="00401F83">
        <w:rPr>
          <w:b/>
          <w:bCs/>
        </w:rPr>
        <w:fldChar w:fldCharType="begin"/>
      </w:r>
      <w:r w:rsidRPr="00401F83">
        <w:rPr>
          <w:b/>
          <w:bCs/>
        </w:rPr>
        <w:instrText xml:space="preserve"> SEQ Table \* ARABIC </w:instrText>
      </w:r>
      <w:r w:rsidRPr="00401F83">
        <w:rPr>
          <w:b/>
          <w:bCs/>
        </w:rPr>
        <w:fldChar w:fldCharType="separate"/>
      </w:r>
      <w:r w:rsidRPr="00401F83">
        <w:rPr>
          <w:b/>
          <w:bCs/>
          <w:noProof/>
        </w:rPr>
        <w:t>1</w:t>
      </w:r>
      <w:r w:rsidRPr="00401F83">
        <w:rPr>
          <w:b/>
          <w:bCs/>
        </w:rPr>
        <w:fldChar w:fldCharType="end"/>
      </w:r>
      <w:r>
        <w:t xml:space="preserve">: </w:t>
      </w:r>
      <w:r w:rsidRPr="00835D5F">
        <w:t>Status of framework agreements between the UN MPTF Office and the MDBs serving as SOFF Implementing Entities.</w:t>
      </w:r>
    </w:p>
    <w:tbl>
      <w:tblPr>
        <w:tblStyle w:val="TableGrid"/>
        <w:tblW w:w="0" w:type="auto"/>
        <w:tblLook w:val="04A0" w:firstRow="1" w:lastRow="0" w:firstColumn="1" w:lastColumn="0" w:noHBand="0" w:noVBand="1"/>
      </w:tblPr>
      <w:tblGrid>
        <w:gridCol w:w="4508"/>
        <w:gridCol w:w="4508"/>
      </w:tblGrid>
      <w:tr w:rsidR="00DB7208" w14:paraId="4D2B7F27" w14:textId="77777777" w:rsidTr="000C387F">
        <w:tc>
          <w:tcPr>
            <w:tcW w:w="4508" w:type="dxa"/>
            <w:shd w:val="clear" w:color="auto" w:fill="185980" w:themeFill="accent2"/>
            <w:vAlign w:val="center"/>
          </w:tcPr>
          <w:p w14:paraId="2627758A" w14:textId="77777777" w:rsidR="00DB7208" w:rsidRPr="006C0221" w:rsidRDefault="00DB7208">
            <w:pPr>
              <w:pStyle w:val="TableHeading"/>
              <w:rPr>
                <w:b w:val="0"/>
                <w:sz w:val="20"/>
                <w:szCs w:val="20"/>
                <w:lang w:eastAsia="ko-KR"/>
              </w:rPr>
            </w:pPr>
            <w:r>
              <w:rPr>
                <w:lang w:eastAsia="ko-KR"/>
              </w:rPr>
              <w:t>MDB</w:t>
            </w:r>
          </w:p>
        </w:tc>
        <w:tc>
          <w:tcPr>
            <w:tcW w:w="4508" w:type="dxa"/>
            <w:shd w:val="clear" w:color="auto" w:fill="185980" w:themeFill="accent2"/>
            <w:vAlign w:val="center"/>
          </w:tcPr>
          <w:p w14:paraId="52D4EA40" w14:textId="77777777" w:rsidR="00DB7208" w:rsidRPr="000C387F" w:rsidRDefault="00DB7208">
            <w:pPr>
              <w:pStyle w:val="TableHeading"/>
              <w:rPr>
                <w:sz w:val="20"/>
                <w:szCs w:val="20"/>
                <w:lang w:eastAsia="ko-KR"/>
              </w:rPr>
            </w:pPr>
            <w:r w:rsidRPr="000C387F">
              <w:rPr>
                <w:lang w:eastAsia="ko-KR"/>
              </w:rPr>
              <w:t xml:space="preserve">Status of </w:t>
            </w:r>
            <w:r w:rsidRPr="000C387F">
              <w:rPr>
                <w:rFonts w:hint="eastAsia"/>
                <w:sz w:val="20"/>
                <w:szCs w:val="20"/>
                <w:lang w:eastAsia="ko-KR"/>
              </w:rPr>
              <w:t>framework agreement</w:t>
            </w:r>
          </w:p>
        </w:tc>
      </w:tr>
      <w:tr w:rsidR="00DB7208" w14:paraId="4CE3E3B2" w14:textId="77777777">
        <w:tc>
          <w:tcPr>
            <w:tcW w:w="4508" w:type="dxa"/>
            <w:vAlign w:val="center"/>
          </w:tcPr>
          <w:p w14:paraId="18B9D635" w14:textId="77777777" w:rsidR="00DB7208" w:rsidRPr="006C0221" w:rsidRDefault="00DB7208">
            <w:pPr>
              <w:pStyle w:val="TableText"/>
              <w:rPr>
                <w:lang w:eastAsia="ko-KR"/>
              </w:rPr>
            </w:pPr>
            <w:r w:rsidRPr="006C0221">
              <w:rPr>
                <w:lang w:eastAsia="ko-KR"/>
              </w:rPr>
              <w:t>Islamic Development Bank</w:t>
            </w:r>
          </w:p>
        </w:tc>
        <w:tc>
          <w:tcPr>
            <w:tcW w:w="4508" w:type="dxa"/>
            <w:vAlign w:val="center"/>
          </w:tcPr>
          <w:p w14:paraId="2C5B7D55" w14:textId="77777777" w:rsidR="00DB7208" w:rsidRPr="006C0221" w:rsidRDefault="00DB7208">
            <w:pPr>
              <w:pStyle w:val="TableText"/>
              <w:rPr>
                <w:lang w:eastAsia="ko-KR"/>
              </w:rPr>
            </w:pPr>
            <w:r w:rsidRPr="006C2029">
              <w:rPr>
                <w:lang w:eastAsia="ko-KR"/>
              </w:rPr>
              <w:t>Completed, signed June 2023</w:t>
            </w:r>
          </w:p>
        </w:tc>
      </w:tr>
      <w:tr w:rsidR="00DB7208" w14:paraId="0993CE5D" w14:textId="77777777">
        <w:tc>
          <w:tcPr>
            <w:tcW w:w="4508" w:type="dxa"/>
            <w:vAlign w:val="center"/>
          </w:tcPr>
          <w:p w14:paraId="5DA2F7E2" w14:textId="77777777" w:rsidR="00DB7208" w:rsidRPr="006C0221" w:rsidRDefault="00DB7208">
            <w:pPr>
              <w:pStyle w:val="TableText"/>
              <w:rPr>
                <w:lang w:eastAsia="ko-KR"/>
              </w:rPr>
            </w:pPr>
            <w:r w:rsidRPr="009C1781">
              <w:rPr>
                <w:lang w:eastAsia="ko-KR"/>
              </w:rPr>
              <w:t xml:space="preserve">World Bank </w:t>
            </w:r>
          </w:p>
        </w:tc>
        <w:tc>
          <w:tcPr>
            <w:tcW w:w="4508" w:type="dxa"/>
            <w:vAlign w:val="center"/>
          </w:tcPr>
          <w:p w14:paraId="500C793C" w14:textId="77777777" w:rsidR="00DB7208" w:rsidRPr="00695126" w:rsidRDefault="00DB7208">
            <w:pPr>
              <w:pStyle w:val="TableText"/>
              <w:rPr>
                <w:lang w:eastAsia="ko-KR"/>
              </w:rPr>
            </w:pPr>
            <w:r w:rsidRPr="009C1781">
              <w:rPr>
                <w:lang w:eastAsia="ko-KR"/>
              </w:rPr>
              <w:t>Completed, signed letter of intention in September 2024, based on the SOFF T</w:t>
            </w:r>
            <w:r>
              <w:rPr>
                <w:lang w:eastAsia="ko-KR"/>
              </w:rPr>
              <w:t xml:space="preserve">erms </w:t>
            </w:r>
            <w:r w:rsidRPr="009C1781">
              <w:rPr>
                <w:lang w:eastAsia="ko-KR"/>
              </w:rPr>
              <w:t>o</w:t>
            </w:r>
            <w:r>
              <w:rPr>
                <w:lang w:eastAsia="ko-KR"/>
              </w:rPr>
              <w:t xml:space="preserve">f </w:t>
            </w:r>
            <w:r w:rsidRPr="009C1781">
              <w:rPr>
                <w:lang w:eastAsia="ko-KR"/>
              </w:rPr>
              <w:t>R</w:t>
            </w:r>
            <w:r>
              <w:rPr>
                <w:lang w:eastAsia="ko-KR"/>
              </w:rPr>
              <w:t>eference</w:t>
            </w:r>
            <w:r w:rsidRPr="009C1781">
              <w:rPr>
                <w:lang w:eastAsia="ko-KR"/>
              </w:rPr>
              <w:t>s and the Administrative Agreement previously agreed.</w:t>
            </w:r>
          </w:p>
        </w:tc>
      </w:tr>
      <w:tr w:rsidR="00DB7208" w14:paraId="1823C773" w14:textId="77777777">
        <w:tc>
          <w:tcPr>
            <w:tcW w:w="4508" w:type="dxa"/>
            <w:vAlign w:val="center"/>
          </w:tcPr>
          <w:p w14:paraId="066077EB" w14:textId="77777777" w:rsidR="00DB7208" w:rsidRPr="006C0221" w:rsidRDefault="00DB7208">
            <w:pPr>
              <w:pStyle w:val="TableText"/>
              <w:rPr>
                <w:lang w:eastAsia="ko-KR"/>
              </w:rPr>
            </w:pPr>
            <w:r w:rsidRPr="00595352">
              <w:rPr>
                <w:lang w:eastAsia="ko-KR"/>
              </w:rPr>
              <w:t xml:space="preserve">Inter-American Development Bank </w:t>
            </w:r>
          </w:p>
        </w:tc>
        <w:tc>
          <w:tcPr>
            <w:tcW w:w="4508" w:type="dxa"/>
            <w:vAlign w:val="center"/>
          </w:tcPr>
          <w:p w14:paraId="3DE51357" w14:textId="77777777" w:rsidR="00DB7208" w:rsidRPr="00695126" w:rsidRDefault="00DB7208">
            <w:pPr>
              <w:pStyle w:val="TableText"/>
              <w:rPr>
                <w:lang w:eastAsia="ko-KR"/>
              </w:rPr>
            </w:pPr>
            <w:r w:rsidRPr="00595352">
              <w:rPr>
                <w:lang w:eastAsia="ko-KR"/>
              </w:rPr>
              <w:t>Completed, signed September 2024</w:t>
            </w:r>
          </w:p>
        </w:tc>
      </w:tr>
      <w:tr w:rsidR="00DB7208" w14:paraId="7512B7B7" w14:textId="77777777">
        <w:tc>
          <w:tcPr>
            <w:tcW w:w="4508" w:type="dxa"/>
            <w:vAlign w:val="center"/>
          </w:tcPr>
          <w:p w14:paraId="2FA74E43" w14:textId="77777777" w:rsidR="00DB7208" w:rsidRPr="006C0221" w:rsidRDefault="00DB7208">
            <w:pPr>
              <w:pStyle w:val="TableText"/>
              <w:rPr>
                <w:lang w:eastAsia="ko-KR"/>
              </w:rPr>
            </w:pPr>
            <w:r w:rsidRPr="00D47EDC">
              <w:rPr>
                <w:lang w:eastAsia="ko-KR"/>
              </w:rPr>
              <w:t xml:space="preserve">African Development Bank </w:t>
            </w:r>
          </w:p>
        </w:tc>
        <w:tc>
          <w:tcPr>
            <w:tcW w:w="4508" w:type="dxa"/>
            <w:vAlign w:val="center"/>
          </w:tcPr>
          <w:p w14:paraId="40721EC1" w14:textId="77777777" w:rsidR="00DB7208" w:rsidRPr="00695126" w:rsidRDefault="00DB7208">
            <w:pPr>
              <w:pStyle w:val="TableText"/>
              <w:rPr>
                <w:lang w:eastAsia="ko-KR"/>
              </w:rPr>
            </w:pPr>
            <w:r w:rsidRPr="00D47EDC">
              <w:rPr>
                <w:lang w:eastAsia="ko-KR"/>
              </w:rPr>
              <w:t>Delayed, final negotiations ongoing</w:t>
            </w:r>
          </w:p>
        </w:tc>
      </w:tr>
      <w:tr w:rsidR="00DB7208" w14:paraId="65CD4712" w14:textId="77777777">
        <w:tc>
          <w:tcPr>
            <w:tcW w:w="4508" w:type="dxa"/>
            <w:vAlign w:val="center"/>
          </w:tcPr>
          <w:p w14:paraId="6A1ECD02" w14:textId="77777777" w:rsidR="00DB7208" w:rsidRPr="006C0221" w:rsidRDefault="00DB7208">
            <w:pPr>
              <w:pStyle w:val="TableText"/>
              <w:rPr>
                <w:lang w:eastAsia="ko-KR"/>
              </w:rPr>
            </w:pPr>
            <w:r w:rsidRPr="006C0221">
              <w:rPr>
                <w:lang w:eastAsia="ko-KR"/>
              </w:rPr>
              <w:t>Asian Development Bank</w:t>
            </w:r>
          </w:p>
        </w:tc>
        <w:tc>
          <w:tcPr>
            <w:tcW w:w="4508" w:type="dxa"/>
            <w:vAlign w:val="center"/>
          </w:tcPr>
          <w:p w14:paraId="3AABA45D" w14:textId="77777777" w:rsidR="00DB7208" w:rsidRPr="006C0221" w:rsidRDefault="00DB7208">
            <w:pPr>
              <w:pStyle w:val="TableText"/>
              <w:rPr>
                <w:lang w:eastAsia="ko-KR"/>
              </w:rPr>
            </w:pPr>
            <w:r w:rsidRPr="006C0221">
              <w:rPr>
                <w:lang w:eastAsia="ko-KR"/>
              </w:rPr>
              <w:t xml:space="preserve">Pending </w:t>
            </w:r>
            <w:r w:rsidRPr="439A3C2A">
              <w:rPr>
                <w:lang w:eastAsia="ko-KR"/>
              </w:rPr>
              <w:t>agreement</w:t>
            </w:r>
          </w:p>
        </w:tc>
      </w:tr>
    </w:tbl>
    <w:p w14:paraId="0F2C5BBA" w14:textId="6373962F" w:rsidR="00DB7208" w:rsidRPr="009313AC" w:rsidRDefault="00DB7208" w:rsidP="00DB7208">
      <w:pPr>
        <w:spacing w:before="240"/>
        <w:rPr>
          <w:lang w:eastAsia="ko-KR"/>
        </w:rPr>
      </w:pPr>
      <w:r w:rsidRPr="00FE20B6">
        <w:t xml:space="preserve">Following </w:t>
      </w:r>
      <w:hyperlink r:id="rId28">
        <w:r w:rsidRPr="67EFAA75">
          <w:rPr>
            <w:rStyle w:val="Hyperlink"/>
            <w:lang w:eastAsia="ko-KR"/>
          </w:rPr>
          <w:t>Decision 9.7</w:t>
        </w:r>
      </w:hyperlink>
      <w:r w:rsidRPr="00FE20B6">
        <w:t xml:space="preserve">, Madagascar and South Sudan </w:t>
      </w:r>
      <w:r w:rsidRPr="004139EB">
        <w:t>have changed their Implementing Entities for their Investment phase from AfDB to UNDP and FAO</w:t>
      </w:r>
      <w:r w:rsidR="00B223A1">
        <w:t>,</w:t>
      </w:r>
      <w:r>
        <w:t xml:space="preserve"> </w:t>
      </w:r>
      <w:r w:rsidRPr="00FE20B6">
        <w:rPr>
          <w:lang w:eastAsia="ko-KR"/>
        </w:rPr>
        <w:t>respectively. Additionally</w:t>
      </w:r>
      <w:r w:rsidRPr="67EFAA75">
        <w:rPr>
          <w:lang w:eastAsia="ko-KR"/>
        </w:rPr>
        <w:t>,</w:t>
      </w:r>
      <w:r w:rsidRPr="00FE20B6">
        <w:rPr>
          <w:lang w:eastAsia="ko-KR"/>
        </w:rPr>
        <w:t xml:space="preserve"> considering the decision to withhold approval for Investment funding requests submitted by AfDB until the agreement with </w:t>
      </w:r>
      <w:r w:rsidRPr="67EFAA75">
        <w:rPr>
          <w:lang w:eastAsia="ko-KR"/>
        </w:rPr>
        <w:t>UN MPTF</w:t>
      </w:r>
      <w:r w:rsidRPr="00FE20B6">
        <w:rPr>
          <w:lang w:eastAsia="ko-KR"/>
        </w:rPr>
        <w:t xml:space="preserve"> is signed, several countries </w:t>
      </w:r>
      <w:r>
        <w:rPr>
          <w:lang w:eastAsia="ko-KR"/>
        </w:rPr>
        <w:t>currently</w:t>
      </w:r>
      <w:r w:rsidRPr="00FE20B6">
        <w:rPr>
          <w:lang w:eastAsia="ko-KR"/>
        </w:rPr>
        <w:t xml:space="preserve"> in the Readiness phase have also requested a change in their </w:t>
      </w:r>
      <w:r w:rsidRPr="00FE20B6">
        <w:rPr>
          <w:rFonts w:hint="eastAsia"/>
          <w:lang w:eastAsia="ko-KR"/>
        </w:rPr>
        <w:t>IE</w:t>
      </w:r>
      <w:r w:rsidRPr="00FE20B6">
        <w:rPr>
          <w:lang w:eastAsia="ko-KR"/>
        </w:rPr>
        <w:t>, as detailed in Table 5 below.</w:t>
      </w:r>
    </w:p>
    <w:p w14:paraId="33C7AE69" w14:textId="1251EAEC" w:rsidR="00DB7208" w:rsidRDefault="00DB7208" w:rsidP="00DB7208">
      <w:pPr>
        <w:pStyle w:val="Caption"/>
        <w:keepNext/>
        <w:rPr>
          <w:lang w:eastAsia="ko-KR"/>
        </w:rPr>
      </w:pPr>
      <w:r w:rsidRPr="001D504B">
        <w:rPr>
          <w:b/>
        </w:rPr>
        <w:t xml:space="preserve">Table </w:t>
      </w:r>
      <w:r w:rsidRPr="00401F83">
        <w:rPr>
          <w:b/>
        </w:rPr>
        <w:fldChar w:fldCharType="begin"/>
      </w:r>
      <w:r w:rsidRPr="00401F83">
        <w:rPr>
          <w:b/>
        </w:rPr>
        <w:instrText xml:space="preserve"> SEQ Table \* ARABIC </w:instrText>
      </w:r>
      <w:r w:rsidRPr="00401F83">
        <w:rPr>
          <w:b/>
        </w:rPr>
        <w:fldChar w:fldCharType="separate"/>
      </w:r>
      <w:r w:rsidR="00401F83">
        <w:rPr>
          <w:b/>
          <w:noProof/>
        </w:rPr>
        <w:t>2</w:t>
      </w:r>
      <w:r w:rsidRPr="00401F83">
        <w:rPr>
          <w:b/>
        </w:rPr>
        <w:fldChar w:fldCharType="end"/>
      </w:r>
      <w:r w:rsidR="00401F83">
        <w:rPr>
          <w:bCs/>
          <w:lang w:eastAsia="ko-KR"/>
        </w:rPr>
        <w:t>:</w:t>
      </w:r>
      <w:r w:rsidRPr="001D504B">
        <w:rPr>
          <w:rFonts w:hint="eastAsia"/>
          <w:lang w:eastAsia="ko-KR"/>
        </w:rPr>
        <w:t xml:space="preserve"> </w:t>
      </w:r>
      <w:r w:rsidRPr="001D504B">
        <w:rPr>
          <w:lang w:eastAsia="ko-KR"/>
        </w:rPr>
        <w:t>Status of SOFF Implementing Entity change for countries with AfDB as the original Implementing Entity.</w:t>
      </w:r>
    </w:p>
    <w:tbl>
      <w:tblPr>
        <w:tblStyle w:val="TableGrid"/>
        <w:tblW w:w="0" w:type="auto"/>
        <w:tblLook w:val="04A0" w:firstRow="1" w:lastRow="0" w:firstColumn="1" w:lastColumn="0" w:noHBand="0" w:noVBand="1"/>
      </w:tblPr>
      <w:tblGrid>
        <w:gridCol w:w="1801"/>
        <w:gridCol w:w="1406"/>
        <w:gridCol w:w="2433"/>
        <w:gridCol w:w="1764"/>
        <w:gridCol w:w="1612"/>
      </w:tblGrid>
      <w:tr w:rsidR="00DB7208" w14:paraId="029774E8" w14:textId="77777777">
        <w:trPr>
          <w:tblHeader/>
        </w:trPr>
        <w:tc>
          <w:tcPr>
            <w:tcW w:w="1801" w:type="dxa"/>
            <w:shd w:val="clear" w:color="auto" w:fill="185980"/>
          </w:tcPr>
          <w:p w14:paraId="0E7AC2B2" w14:textId="77777777" w:rsidR="00DB7208" w:rsidRPr="00782241" w:rsidRDefault="00DB7208">
            <w:pPr>
              <w:pStyle w:val="TableHeading"/>
              <w:rPr>
                <w:lang w:eastAsia="ko-KR"/>
              </w:rPr>
            </w:pPr>
            <w:r w:rsidRPr="00782241">
              <w:rPr>
                <w:lang w:eastAsia="ko-KR"/>
              </w:rPr>
              <w:t>Country</w:t>
            </w:r>
          </w:p>
        </w:tc>
        <w:tc>
          <w:tcPr>
            <w:tcW w:w="1406" w:type="dxa"/>
            <w:shd w:val="clear" w:color="auto" w:fill="185980"/>
          </w:tcPr>
          <w:p w14:paraId="168BE442" w14:textId="77777777" w:rsidR="00DB7208" w:rsidRPr="00782241" w:rsidRDefault="00DB7208">
            <w:pPr>
              <w:pStyle w:val="TableHeading"/>
              <w:rPr>
                <w:lang w:eastAsia="ko-KR"/>
              </w:rPr>
            </w:pPr>
            <w:r w:rsidRPr="00782241">
              <w:rPr>
                <w:lang w:eastAsia="ko-KR"/>
              </w:rPr>
              <w:t>Peer Advisor</w:t>
            </w:r>
          </w:p>
        </w:tc>
        <w:tc>
          <w:tcPr>
            <w:tcW w:w="2433" w:type="dxa"/>
            <w:shd w:val="clear" w:color="auto" w:fill="185980"/>
          </w:tcPr>
          <w:p w14:paraId="0FC0774B" w14:textId="77777777" w:rsidR="00DB7208" w:rsidRPr="00782241" w:rsidRDefault="00DB7208">
            <w:pPr>
              <w:pStyle w:val="TableHeading"/>
              <w:rPr>
                <w:lang w:eastAsia="ko-KR"/>
              </w:rPr>
            </w:pPr>
            <w:r w:rsidRPr="00782241">
              <w:rPr>
                <w:lang w:eastAsia="ko-KR"/>
              </w:rPr>
              <w:t xml:space="preserve">Implementation progress status </w:t>
            </w:r>
          </w:p>
        </w:tc>
        <w:tc>
          <w:tcPr>
            <w:tcW w:w="1764" w:type="dxa"/>
            <w:shd w:val="clear" w:color="auto" w:fill="185980"/>
          </w:tcPr>
          <w:p w14:paraId="65AD3E61" w14:textId="77777777" w:rsidR="00DB7208" w:rsidRPr="00782241" w:rsidRDefault="00DB7208">
            <w:pPr>
              <w:pStyle w:val="TableHeading"/>
              <w:rPr>
                <w:lang w:eastAsia="ko-KR"/>
              </w:rPr>
            </w:pPr>
            <w:r w:rsidRPr="00782241">
              <w:rPr>
                <w:lang w:eastAsia="ko-KR"/>
              </w:rPr>
              <w:t>New Implementing Entity</w:t>
            </w:r>
          </w:p>
        </w:tc>
        <w:tc>
          <w:tcPr>
            <w:tcW w:w="1612" w:type="dxa"/>
            <w:shd w:val="clear" w:color="auto" w:fill="185980"/>
          </w:tcPr>
          <w:p w14:paraId="423EE9AD" w14:textId="77777777" w:rsidR="00DB7208" w:rsidRPr="00782241" w:rsidRDefault="00DB7208">
            <w:pPr>
              <w:pStyle w:val="TableHeading"/>
              <w:rPr>
                <w:lang w:eastAsia="ko-KR"/>
              </w:rPr>
            </w:pPr>
            <w:r w:rsidRPr="00782241">
              <w:rPr>
                <w:lang w:eastAsia="ko-KR"/>
              </w:rPr>
              <w:t>Status of change</w:t>
            </w:r>
          </w:p>
        </w:tc>
      </w:tr>
      <w:tr w:rsidR="00DB7208" w14:paraId="20D0EFBB" w14:textId="77777777">
        <w:tc>
          <w:tcPr>
            <w:tcW w:w="1801" w:type="dxa"/>
          </w:tcPr>
          <w:p w14:paraId="076CA0B5" w14:textId="77777777" w:rsidR="00DB7208" w:rsidRPr="00782241" w:rsidRDefault="00DB7208">
            <w:pPr>
              <w:pStyle w:val="TableText"/>
              <w:rPr>
                <w:lang w:eastAsia="ko-KR"/>
              </w:rPr>
            </w:pPr>
            <w:r w:rsidRPr="00782241">
              <w:rPr>
                <w:lang w:eastAsia="ko-KR"/>
              </w:rPr>
              <w:t>Madagascar</w:t>
            </w:r>
          </w:p>
        </w:tc>
        <w:tc>
          <w:tcPr>
            <w:tcW w:w="1406" w:type="dxa"/>
          </w:tcPr>
          <w:p w14:paraId="6D5DEA9D" w14:textId="77777777" w:rsidR="00DB7208" w:rsidRPr="00782241" w:rsidRDefault="00DB7208">
            <w:pPr>
              <w:pStyle w:val="TableText"/>
              <w:rPr>
                <w:lang w:eastAsia="ko-KR"/>
              </w:rPr>
            </w:pPr>
            <w:r w:rsidRPr="00782241">
              <w:rPr>
                <w:lang w:eastAsia="ko-KR"/>
              </w:rPr>
              <w:t>Germany</w:t>
            </w:r>
          </w:p>
        </w:tc>
        <w:tc>
          <w:tcPr>
            <w:tcW w:w="2433" w:type="dxa"/>
          </w:tcPr>
          <w:p w14:paraId="46FE75F9" w14:textId="77777777" w:rsidR="00DB7208" w:rsidRPr="00782241" w:rsidRDefault="00DB7208">
            <w:pPr>
              <w:pStyle w:val="TableText"/>
              <w:rPr>
                <w:lang w:eastAsia="ko-KR"/>
              </w:rPr>
            </w:pPr>
            <w:r w:rsidRPr="00782241">
              <w:rPr>
                <w:lang w:eastAsia="ko-KR"/>
              </w:rPr>
              <w:t xml:space="preserve">Investment funding </w:t>
            </w:r>
            <w:r>
              <w:rPr>
                <w:rFonts w:hint="eastAsia"/>
                <w:lang w:eastAsia="ko-KR"/>
              </w:rPr>
              <w:t>request</w:t>
            </w:r>
            <w:r w:rsidRPr="00782241">
              <w:rPr>
                <w:rFonts w:hint="eastAsia"/>
                <w:lang w:eastAsia="ko-KR"/>
              </w:rPr>
              <w:t xml:space="preserve"> </w:t>
            </w:r>
            <w:r w:rsidRPr="00782241">
              <w:rPr>
                <w:lang w:eastAsia="ko-KR"/>
              </w:rPr>
              <w:t>approved</w:t>
            </w:r>
          </w:p>
        </w:tc>
        <w:tc>
          <w:tcPr>
            <w:tcW w:w="1764" w:type="dxa"/>
          </w:tcPr>
          <w:p w14:paraId="2B00A035" w14:textId="77777777" w:rsidR="00DB7208" w:rsidRPr="00782241" w:rsidRDefault="00DB7208">
            <w:pPr>
              <w:pStyle w:val="TableText"/>
              <w:rPr>
                <w:lang w:eastAsia="ko-KR"/>
              </w:rPr>
            </w:pPr>
            <w:r w:rsidRPr="00782241">
              <w:rPr>
                <w:lang w:eastAsia="ko-KR"/>
              </w:rPr>
              <w:t>UNDP</w:t>
            </w:r>
          </w:p>
        </w:tc>
        <w:tc>
          <w:tcPr>
            <w:tcW w:w="1612" w:type="dxa"/>
          </w:tcPr>
          <w:p w14:paraId="520EE76C" w14:textId="77777777" w:rsidR="00DB7208" w:rsidRPr="00782241" w:rsidRDefault="00DB7208">
            <w:pPr>
              <w:pStyle w:val="TableText"/>
              <w:rPr>
                <w:lang w:eastAsia="ko-KR"/>
              </w:rPr>
            </w:pPr>
            <w:r>
              <w:rPr>
                <w:lang w:eastAsia="ko-KR"/>
              </w:rPr>
              <w:t>Done</w:t>
            </w:r>
          </w:p>
        </w:tc>
      </w:tr>
      <w:tr w:rsidR="00DB7208" w14:paraId="35B5C525" w14:textId="77777777">
        <w:tc>
          <w:tcPr>
            <w:tcW w:w="1801" w:type="dxa"/>
          </w:tcPr>
          <w:p w14:paraId="0A899614" w14:textId="77777777" w:rsidR="00DB7208" w:rsidRPr="00782241" w:rsidRDefault="00DB7208">
            <w:pPr>
              <w:pStyle w:val="TableText"/>
              <w:rPr>
                <w:lang w:eastAsia="ko-KR"/>
              </w:rPr>
            </w:pPr>
            <w:r w:rsidRPr="00782241">
              <w:rPr>
                <w:lang w:eastAsia="ko-KR"/>
              </w:rPr>
              <w:t>South Sudan</w:t>
            </w:r>
          </w:p>
        </w:tc>
        <w:tc>
          <w:tcPr>
            <w:tcW w:w="1406" w:type="dxa"/>
          </w:tcPr>
          <w:p w14:paraId="5B4F3922" w14:textId="77777777" w:rsidR="00DB7208" w:rsidRPr="00782241" w:rsidRDefault="00DB7208">
            <w:pPr>
              <w:pStyle w:val="TableText"/>
              <w:rPr>
                <w:lang w:eastAsia="ko-KR"/>
              </w:rPr>
            </w:pPr>
            <w:r w:rsidRPr="00782241">
              <w:rPr>
                <w:lang w:eastAsia="ko-KR"/>
              </w:rPr>
              <w:t>Austria</w:t>
            </w:r>
          </w:p>
        </w:tc>
        <w:tc>
          <w:tcPr>
            <w:tcW w:w="2433" w:type="dxa"/>
          </w:tcPr>
          <w:p w14:paraId="094FAC37" w14:textId="77777777" w:rsidR="00DB7208" w:rsidRPr="00782241" w:rsidRDefault="00DB7208">
            <w:pPr>
              <w:pStyle w:val="TableText"/>
              <w:rPr>
                <w:lang w:eastAsia="ko-KR"/>
              </w:rPr>
            </w:pPr>
            <w:r w:rsidRPr="00782241">
              <w:rPr>
                <w:lang w:eastAsia="ko-KR"/>
              </w:rPr>
              <w:t xml:space="preserve">Investment funding </w:t>
            </w:r>
            <w:r>
              <w:rPr>
                <w:rFonts w:hint="eastAsia"/>
                <w:lang w:eastAsia="ko-KR"/>
              </w:rPr>
              <w:t xml:space="preserve">request </w:t>
            </w:r>
            <w:r w:rsidRPr="00782241">
              <w:rPr>
                <w:lang w:eastAsia="ko-KR"/>
              </w:rPr>
              <w:t>approved</w:t>
            </w:r>
          </w:p>
        </w:tc>
        <w:tc>
          <w:tcPr>
            <w:tcW w:w="1764" w:type="dxa"/>
          </w:tcPr>
          <w:p w14:paraId="508E6BCF" w14:textId="77777777" w:rsidR="00DB7208" w:rsidRPr="00782241" w:rsidRDefault="00DB7208">
            <w:pPr>
              <w:pStyle w:val="TableText"/>
              <w:rPr>
                <w:lang w:eastAsia="ko-KR"/>
              </w:rPr>
            </w:pPr>
            <w:r w:rsidRPr="5A92D50C">
              <w:rPr>
                <w:lang w:eastAsia="ko-KR"/>
              </w:rPr>
              <w:t>FAO</w:t>
            </w:r>
          </w:p>
        </w:tc>
        <w:tc>
          <w:tcPr>
            <w:tcW w:w="1612" w:type="dxa"/>
          </w:tcPr>
          <w:p w14:paraId="02CAB606" w14:textId="791D2347" w:rsidR="00DB7208" w:rsidRPr="00782241" w:rsidRDefault="006B73ED">
            <w:pPr>
              <w:pStyle w:val="TableText"/>
              <w:rPr>
                <w:lang w:eastAsia="ko-KR"/>
              </w:rPr>
            </w:pPr>
            <w:r w:rsidRPr="00B223A1">
              <w:rPr>
                <w:lang w:eastAsia="ko-KR"/>
              </w:rPr>
              <w:t>Done</w:t>
            </w:r>
            <w:r w:rsidR="00DB7208" w:rsidRPr="00782241">
              <w:rPr>
                <w:lang w:eastAsia="ko-KR"/>
              </w:rPr>
              <w:t xml:space="preserve"> </w:t>
            </w:r>
          </w:p>
        </w:tc>
      </w:tr>
      <w:tr w:rsidR="00DB7208" w14:paraId="5B0131E7" w14:textId="77777777">
        <w:tc>
          <w:tcPr>
            <w:tcW w:w="1801" w:type="dxa"/>
          </w:tcPr>
          <w:p w14:paraId="1958E26E" w14:textId="77777777" w:rsidR="00DB7208" w:rsidRPr="00782241" w:rsidRDefault="00DB7208">
            <w:pPr>
              <w:pStyle w:val="TableText"/>
              <w:rPr>
                <w:lang w:eastAsia="ko-KR"/>
              </w:rPr>
            </w:pPr>
            <w:r w:rsidRPr="00782241">
              <w:rPr>
                <w:lang w:eastAsia="ko-KR"/>
              </w:rPr>
              <w:lastRenderedPageBreak/>
              <w:t xml:space="preserve">Democratic Republic of Congo </w:t>
            </w:r>
          </w:p>
        </w:tc>
        <w:tc>
          <w:tcPr>
            <w:tcW w:w="1406" w:type="dxa"/>
          </w:tcPr>
          <w:p w14:paraId="01F3531B" w14:textId="77777777" w:rsidR="00DB7208" w:rsidRPr="00782241" w:rsidRDefault="00DB7208">
            <w:pPr>
              <w:pStyle w:val="TableText"/>
              <w:rPr>
                <w:lang w:eastAsia="ko-KR"/>
              </w:rPr>
            </w:pPr>
            <w:r w:rsidRPr="00782241">
              <w:rPr>
                <w:lang w:eastAsia="ko-KR"/>
              </w:rPr>
              <w:t>Switzerland</w:t>
            </w:r>
          </w:p>
        </w:tc>
        <w:tc>
          <w:tcPr>
            <w:tcW w:w="2433" w:type="dxa"/>
          </w:tcPr>
          <w:p w14:paraId="6EC7EEAC" w14:textId="0FF1B118" w:rsidR="00DB7208" w:rsidRPr="00782241" w:rsidRDefault="00DB7208">
            <w:pPr>
              <w:pStyle w:val="TableText"/>
              <w:rPr>
                <w:lang w:eastAsia="ko-KR"/>
              </w:rPr>
            </w:pPr>
            <w:r>
              <w:rPr>
                <w:lang w:eastAsia="ko-KR"/>
              </w:rPr>
              <w:t xml:space="preserve">Investment funding request </w:t>
            </w:r>
            <w:r w:rsidR="00A24464">
              <w:rPr>
                <w:lang w:eastAsia="ko-KR"/>
              </w:rPr>
              <w:t>in pipeline</w:t>
            </w:r>
          </w:p>
        </w:tc>
        <w:tc>
          <w:tcPr>
            <w:tcW w:w="1764" w:type="dxa"/>
          </w:tcPr>
          <w:p w14:paraId="071C41B7" w14:textId="77777777" w:rsidR="00DB7208" w:rsidRPr="00782241" w:rsidRDefault="00DB7208">
            <w:pPr>
              <w:pStyle w:val="TableText"/>
              <w:rPr>
                <w:lang w:eastAsia="ko-KR"/>
              </w:rPr>
            </w:pPr>
            <w:r w:rsidRPr="00782241">
              <w:rPr>
                <w:lang w:eastAsia="ko-KR"/>
              </w:rPr>
              <w:t>WFP</w:t>
            </w:r>
          </w:p>
        </w:tc>
        <w:tc>
          <w:tcPr>
            <w:tcW w:w="1612" w:type="dxa"/>
          </w:tcPr>
          <w:p w14:paraId="6211AC05" w14:textId="77777777" w:rsidR="00DB7208" w:rsidRPr="00782241" w:rsidRDefault="00DB7208">
            <w:pPr>
              <w:pStyle w:val="TableText"/>
              <w:rPr>
                <w:lang w:eastAsia="ko-KR"/>
              </w:rPr>
            </w:pPr>
            <w:r w:rsidRPr="00782241">
              <w:rPr>
                <w:lang w:eastAsia="ko-KR"/>
              </w:rPr>
              <w:t>Done</w:t>
            </w:r>
          </w:p>
        </w:tc>
      </w:tr>
      <w:tr w:rsidR="00DB7208" w14:paraId="40A409C6" w14:textId="77777777">
        <w:tc>
          <w:tcPr>
            <w:tcW w:w="1801" w:type="dxa"/>
          </w:tcPr>
          <w:p w14:paraId="57E44EF2" w14:textId="77777777" w:rsidR="00DB7208" w:rsidRPr="00782241" w:rsidRDefault="00DB7208">
            <w:pPr>
              <w:pStyle w:val="TableText"/>
              <w:rPr>
                <w:lang w:eastAsia="ko-KR"/>
              </w:rPr>
            </w:pPr>
            <w:r w:rsidRPr="00782241">
              <w:rPr>
                <w:lang w:eastAsia="ko-KR"/>
              </w:rPr>
              <w:t>Burkina Faso</w:t>
            </w:r>
          </w:p>
        </w:tc>
        <w:tc>
          <w:tcPr>
            <w:tcW w:w="1406" w:type="dxa"/>
          </w:tcPr>
          <w:p w14:paraId="6CB5868F" w14:textId="77777777" w:rsidR="00DB7208" w:rsidRPr="00782241" w:rsidRDefault="00DB7208">
            <w:pPr>
              <w:pStyle w:val="TableText"/>
              <w:rPr>
                <w:lang w:eastAsia="ko-KR"/>
              </w:rPr>
            </w:pPr>
            <w:r w:rsidRPr="00782241">
              <w:rPr>
                <w:lang w:eastAsia="ko-KR"/>
              </w:rPr>
              <w:t>Spain - Nigeria</w:t>
            </w:r>
          </w:p>
        </w:tc>
        <w:tc>
          <w:tcPr>
            <w:tcW w:w="2433" w:type="dxa"/>
          </w:tcPr>
          <w:p w14:paraId="0AF80454" w14:textId="77777777" w:rsidR="00DB7208" w:rsidRPr="00782241" w:rsidRDefault="00DB7208">
            <w:pPr>
              <w:pStyle w:val="TableText"/>
              <w:rPr>
                <w:lang w:eastAsia="ko-KR"/>
              </w:rPr>
            </w:pPr>
            <w:r w:rsidRPr="00782241">
              <w:rPr>
                <w:lang w:eastAsia="ko-KR"/>
              </w:rPr>
              <w:t>Readiness phase ongoing</w:t>
            </w:r>
          </w:p>
        </w:tc>
        <w:tc>
          <w:tcPr>
            <w:tcW w:w="1764" w:type="dxa"/>
          </w:tcPr>
          <w:p w14:paraId="67CABF0A" w14:textId="77777777" w:rsidR="00DB7208" w:rsidRPr="00782241" w:rsidRDefault="001D504B">
            <w:pPr>
              <w:pStyle w:val="TableText"/>
              <w:rPr>
                <w:lang w:eastAsia="ko-KR"/>
              </w:rPr>
            </w:pPr>
            <w:r>
              <w:rPr>
                <w:lang w:eastAsia="ko-KR"/>
              </w:rPr>
              <w:t>-</w:t>
            </w:r>
          </w:p>
        </w:tc>
        <w:tc>
          <w:tcPr>
            <w:tcW w:w="1612" w:type="dxa"/>
          </w:tcPr>
          <w:p w14:paraId="680FC922" w14:textId="0C083724" w:rsidR="00DB7208" w:rsidRPr="00782241" w:rsidRDefault="001D504B">
            <w:pPr>
              <w:pStyle w:val="TableText"/>
              <w:rPr>
                <w:lang w:eastAsia="ko-KR"/>
              </w:rPr>
            </w:pPr>
            <w:r w:rsidRPr="00B223A1">
              <w:rPr>
                <w:lang w:eastAsia="ko-KR"/>
              </w:rPr>
              <w:t>Requested</w:t>
            </w:r>
          </w:p>
        </w:tc>
      </w:tr>
      <w:tr w:rsidR="00DB7208" w14:paraId="6C897289" w14:textId="77777777">
        <w:tc>
          <w:tcPr>
            <w:tcW w:w="1801" w:type="dxa"/>
          </w:tcPr>
          <w:p w14:paraId="7017C466" w14:textId="77777777" w:rsidR="00DB7208" w:rsidRPr="00782241" w:rsidRDefault="00DB7208">
            <w:pPr>
              <w:pStyle w:val="TableText"/>
              <w:rPr>
                <w:lang w:eastAsia="ko-KR"/>
              </w:rPr>
            </w:pPr>
            <w:r w:rsidRPr="00782241">
              <w:rPr>
                <w:lang w:eastAsia="ko-KR"/>
              </w:rPr>
              <w:t>Liberia</w:t>
            </w:r>
          </w:p>
        </w:tc>
        <w:tc>
          <w:tcPr>
            <w:tcW w:w="1406" w:type="dxa"/>
          </w:tcPr>
          <w:p w14:paraId="5AD6643B" w14:textId="77777777" w:rsidR="00DB7208" w:rsidRPr="00782241" w:rsidRDefault="00DB7208">
            <w:pPr>
              <w:pStyle w:val="TableText"/>
              <w:rPr>
                <w:lang w:eastAsia="ko-KR"/>
              </w:rPr>
            </w:pPr>
            <w:r w:rsidRPr="00782241">
              <w:rPr>
                <w:lang w:eastAsia="ko-KR"/>
              </w:rPr>
              <w:t>Nigeria</w:t>
            </w:r>
          </w:p>
        </w:tc>
        <w:tc>
          <w:tcPr>
            <w:tcW w:w="2433" w:type="dxa"/>
          </w:tcPr>
          <w:p w14:paraId="6DD009EA" w14:textId="77777777" w:rsidR="00DB7208" w:rsidRPr="00782241" w:rsidRDefault="00DB7208">
            <w:pPr>
              <w:pStyle w:val="TableText"/>
              <w:rPr>
                <w:lang w:eastAsia="ko-KR"/>
              </w:rPr>
            </w:pPr>
            <w:r w:rsidRPr="00782241">
              <w:rPr>
                <w:lang w:eastAsia="ko-KR"/>
              </w:rPr>
              <w:t>Readiness phase completed</w:t>
            </w:r>
          </w:p>
        </w:tc>
        <w:tc>
          <w:tcPr>
            <w:tcW w:w="1764" w:type="dxa"/>
          </w:tcPr>
          <w:p w14:paraId="61195815" w14:textId="747C0FF3" w:rsidR="00DB7208" w:rsidRPr="00782241" w:rsidRDefault="00D6036B">
            <w:pPr>
              <w:pStyle w:val="TableText"/>
              <w:rPr>
                <w:lang w:eastAsia="ko-KR"/>
              </w:rPr>
            </w:pPr>
            <w:r>
              <w:rPr>
                <w:lang w:eastAsia="ko-KR"/>
              </w:rPr>
              <w:t>FAO</w:t>
            </w:r>
          </w:p>
        </w:tc>
        <w:tc>
          <w:tcPr>
            <w:tcW w:w="1612" w:type="dxa"/>
          </w:tcPr>
          <w:p w14:paraId="2455040F" w14:textId="01E8A1CC" w:rsidR="00DB7208" w:rsidRPr="00782241" w:rsidRDefault="00D6036B">
            <w:pPr>
              <w:pStyle w:val="TableText"/>
              <w:rPr>
                <w:lang w:eastAsia="ko-KR"/>
              </w:rPr>
            </w:pPr>
            <w:r w:rsidRPr="00B223A1">
              <w:rPr>
                <w:lang w:eastAsia="ko-KR"/>
              </w:rPr>
              <w:t>Requested</w:t>
            </w:r>
          </w:p>
        </w:tc>
      </w:tr>
      <w:tr w:rsidR="00DB7208" w14:paraId="4D7D24E8" w14:textId="77777777">
        <w:tc>
          <w:tcPr>
            <w:tcW w:w="1801" w:type="dxa"/>
          </w:tcPr>
          <w:p w14:paraId="6FFBEFB9" w14:textId="77777777" w:rsidR="00DB7208" w:rsidRPr="00782241" w:rsidRDefault="00DB7208">
            <w:pPr>
              <w:pStyle w:val="TableText"/>
              <w:rPr>
                <w:lang w:eastAsia="ko-KR"/>
              </w:rPr>
            </w:pPr>
            <w:r w:rsidRPr="00782241">
              <w:rPr>
                <w:lang w:eastAsia="ko-KR"/>
              </w:rPr>
              <w:t>Mauritius</w:t>
            </w:r>
          </w:p>
        </w:tc>
        <w:tc>
          <w:tcPr>
            <w:tcW w:w="1406" w:type="dxa"/>
          </w:tcPr>
          <w:p w14:paraId="2F287316" w14:textId="77777777" w:rsidR="00DB7208" w:rsidRPr="00782241" w:rsidRDefault="00DB7208">
            <w:pPr>
              <w:pStyle w:val="TableText"/>
              <w:rPr>
                <w:lang w:eastAsia="ko-KR"/>
              </w:rPr>
            </w:pPr>
            <w:r w:rsidRPr="00782241">
              <w:rPr>
                <w:lang w:eastAsia="ko-KR"/>
              </w:rPr>
              <w:t>South Africa – India</w:t>
            </w:r>
          </w:p>
        </w:tc>
        <w:tc>
          <w:tcPr>
            <w:tcW w:w="2433" w:type="dxa"/>
          </w:tcPr>
          <w:p w14:paraId="3DD3D59B" w14:textId="77777777" w:rsidR="00DB7208" w:rsidRPr="00782241" w:rsidRDefault="00DB7208">
            <w:pPr>
              <w:pStyle w:val="TableText"/>
              <w:rPr>
                <w:lang w:eastAsia="ko-KR"/>
              </w:rPr>
            </w:pPr>
            <w:r w:rsidRPr="00782241">
              <w:rPr>
                <w:lang w:eastAsia="ko-KR"/>
              </w:rPr>
              <w:t>Readiness phase ongoing</w:t>
            </w:r>
          </w:p>
        </w:tc>
        <w:tc>
          <w:tcPr>
            <w:tcW w:w="1764" w:type="dxa"/>
          </w:tcPr>
          <w:p w14:paraId="02B66125" w14:textId="77777777" w:rsidR="00DB7208" w:rsidRPr="00782241" w:rsidRDefault="00DB7208">
            <w:pPr>
              <w:pStyle w:val="TableText"/>
              <w:rPr>
                <w:lang w:eastAsia="ko-KR"/>
              </w:rPr>
            </w:pPr>
            <w:r>
              <w:rPr>
                <w:lang w:eastAsia="ko-KR"/>
              </w:rPr>
              <w:t>-</w:t>
            </w:r>
          </w:p>
        </w:tc>
        <w:tc>
          <w:tcPr>
            <w:tcW w:w="1612" w:type="dxa"/>
          </w:tcPr>
          <w:p w14:paraId="29B98702" w14:textId="75D4802B" w:rsidR="00DB7208" w:rsidRPr="00782241" w:rsidRDefault="00DD5DAD">
            <w:pPr>
              <w:pStyle w:val="TableText"/>
              <w:rPr>
                <w:lang w:eastAsia="ko-KR"/>
              </w:rPr>
            </w:pPr>
            <w:r w:rsidRPr="00B223A1">
              <w:rPr>
                <w:lang w:eastAsia="ko-KR"/>
              </w:rPr>
              <w:t>Requested</w:t>
            </w:r>
          </w:p>
        </w:tc>
      </w:tr>
      <w:tr w:rsidR="00DB7208" w14:paraId="53971194" w14:textId="77777777">
        <w:tc>
          <w:tcPr>
            <w:tcW w:w="1801" w:type="dxa"/>
          </w:tcPr>
          <w:p w14:paraId="54FDA635" w14:textId="77777777" w:rsidR="00DB7208" w:rsidRPr="00782241" w:rsidRDefault="00DB7208">
            <w:pPr>
              <w:pStyle w:val="TableText"/>
              <w:rPr>
                <w:lang w:eastAsia="ko-KR"/>
              </w:rPr>
            </w:pPr>
            <w:r w:rsidRPr="00782241">
              <w:rPr>
                <w:lang w:eastAsia="ko-KR"/>
              </w:rPr>
              <w:t>Seychelles</w:t>
            </w:r>
          </w:p>
        </w:tc>
        <w:tc>
          <w:tcPr>
            <w:tcW w:w="1406" w:type="dxa"/>
          </w:tcPr>
          <w:p w14:paraId="21DE1580" w14:textId="77777777" w:rsidR="00DB7208" w:rsidRPr="00782241" w:rsidRDefault="00DB7208">
            <w:pPr>
              <w:pStyle w:val="TableText"/>
              <w:rPr>
                <w:lang w:eastAsia="ko-KR"/>
              </w:rPr>
            </w:pPr>
            <w:r w:rsidRPr="00782241">
              <w:rPr>
                <w:lang w:eastAsia="ko-KR"/>
              </w:rPr>
              <w:t>South Africa</w:t>
            </w:r>
          </w:p>
        </w:tc>
        <w:tc>
          <w:tcPr>
            <w:tcW w:w="2433" w:type="dxa"/>
          </w:tcPr>
          <w:p w14:paraId="5FEB8599" w14:textId="342B9082" w:rsidR="00DB7208" w:rsidRPr="00782241" w:rsidRDefault="00DB7208">
            <w:pPr>
              <w:pStyle w:val="TableText"/>
              <w:rPr>
                <w:lang w:eastAsia="ko-KR"/>
              </w:rPr>
            </w:pPr>
            <w:r w:rsidRPr="00782241">
              <w:rPr>
                <w:lang w:eastAsia="ko-KR"/>
              </w:rPr>
              <w:t xml:space="preserve">Readiness phase </w:t>
            </w:r>
            <w:r w:rsidR="000174B2" w:rsidRPr="00782241">
              <w:rPr>
                <w:lang w:eastAsia="ko-KR"/>
              </w:rPr>
              <w:t>completed</w:t>
            </w:r>
          </w:p>
        </w:tc>
        <w:tc>
          <w:tcPr>
            <w:tcW w:w="1764" w:type="dxa"/>
          </w:tcPr>
          <w:p w14:paraId="69711DF7" w14:textId="77777777" w:rsidR="00DB7208" w:rsidRPr="00C05697" w:rsidRDefault="00DB7208">
            <w:pPr>
              <w:pStyle w:val="TableText"/>
              <w:rPr>
                <w:lang w:eastAsia="ko-KR"/>
              </w:rPr>
            </w:pPr>
            <w:r w:rsidRPr="5A92D50C">
              <w:rPr>
                <w:lang w:eastAsia="ko-KR"/>
              </w:rPr>
              <w:t>WB</w:t>
            </w:r>
          </w:p>
        </w:tc>
        <w:tc>
          <w:tcPr>
            <w:tcW w:w="1612" w:type="dxa"/>
          </w:tcPr>
          <w:p w14:paraId="33976F56" w14:textId="31819507" w:rsidR="00DB7208" w:rsidRPr="00782241" w:rsidRDefault="000F6A09">
            <w:pPr>
              <w:pStyle w:val="TableText"/>
              <w:rPr>
                <w:lang w:eastAsia="ko-KR"/>
              </w:rPr>
            </w:pPr>
            <w:r w:rsidRPr="00782241">
              <w:rPr>
                <w:lang w:eastAsia="ko-KR"/>
              </w:rPr>
              <w:t>Done</w:t>
            </w:r>
          </w:p>
        </w:tc>
      </w:tr>
      <w:tr w:rsidR="00DB7208" w14:paraId="472F8D42" w14:textId="77777777">
        <w:tc>
          <w:tcPr>
            <w:tcW w:w="1801" w:type="dxa"/>
          </w:tcPr>
          <w:p w14:paraId="658A44B6" w14:textId="77777777" w:rsidR="00DB7208" w:rsidRPr="00782241" w:rsidRDefault="00DB7208">
            <w:pPr>
              <w:pStyle w:val="TableText"/>
              <w:rPr>
                <w:lang w:eastAsia="ko-KR"/>
              </w:rPr>
            </w:pPr>
            <w:r w:rsidRPr="00782241">
              <w:rPr>
                <w:lang w:eastAsia="ko-KR"/>
              </w:rPr>
              <w:t>Niger</w:t>
            </w:r>
          </w:p>
        </w:tc>
        <w:tc>
          <w:tcPr>
            <w:tcW w:w="1406" w:type="dxa"/>
          </w:tcPr>
          <w:p w14:paraId="047AF42E" w14:textId="77777777" w:rsidR="00DB7208" w:rsidRPr="00782241" w:rsidRDefault="00DB7208">
            <w:pPr>
              <w:pStyle w:val="TableText"/>
              <w:rPr>
                <w:lang w:eastAsia="ko-KR"/>
              </w:rPr>
            </w:pPr>
            <w:r w:rsidRPr="00782241">
              <w:rPr>
                <w:lang w:eastAsia="ko-KR"/>
              </w:rPr>
              <w:t>Nigeria</w:t>
            </w:r>
          </w:p>
        </w:tc>
        <w:tc>
          <w:tcPr>
            <w:tcW w:w="2433" w:type="dxa"/>
          </w:tcPr>
          <w:p w14:paraId="7BF63810" w14:textId="77777777" w:rsidR="00DB7208" w:rsidRPr="00782241" w:rsidRDefault="00DB7208">
            <w:pPr>
              <w:pStyle w:val="TableText"/>
              <w:rPr>
                <w:lang w:eastAsia="ko-KR"/>
              </w:rPr>
            </w:pPr>
            <w:r w:rsidRPr="00782241">
              <w:rPr>
                <w:lang w:eastAsia="ko-KR"/>
              </w:rPr>
              <w:t>Readiness phase ongoing</w:t>
            </w:r>
          </w:p>
        </w:tc>
        <w:tc>
          <w:tcPr>
            <w:tcW w:w="1764" w:type="dxa"/>
          </w:tcPr>
          <w:p w14:paraId="2FD1B639" w14:textId="2FB25541" w:rsidR="00DB7208" w:rsidRPr="00782241" w:rsidRDefault="006B73ED">
            <w:pPr>
              <w:pStyle w:val="TableText"/>
              <w:rPr>
                <w:lang w:eastAsia="ko-KR"/>
              </w:rPr>
            </w:pPr>
            <w:r>
              <w:rPr>
                <w:lang w:eastAsia="ko-KR"/>
              </w:rPr>
              <w:t>WFP</w:t>
            </w:r>
          </w:p>
        </w:tc>
        <w:tc>
          <w:tcPr>
            <w:tcW w:w="1612" w:type="dxa"/>
          </w:tcPr>
          <w:p w14:paraId="1B487EA7" w14:textId="0F2FD0ED" w:rsidR="00DB7208" w:rsidRPr="00782241" w:rsidRDefault="006B73ED">
            <w:pPr>
              <w:pStyle w:val="TableText"/>
              <w:rPr>
                <w:lang w:eastAsia="ko-KR"/>
              </w:rPr>
            </w:pPr>
            <w:r w:rsidRPr="00B223A1">
              <w:rPr>
                <w:lang w:eastAsia="ko-KR"/>
              </w:rPr>
              <w:t>Requested</w:t>
            </w:r>
          </w:p>
        </w:tc>
      </w:tr>
      <w:tr w:rsidR="00DB7208" w14:paraId="6D724F21" w14:textId="77777777">
        <w:tc>
          <w:tcPr>
            <w:tcW w:w="1801" w:type="dxa"/>
          </w:tcPr>
          <w:p w14:paraId="064AE67C" w14:textId="77777777" w:rsidR="00DB7208" w:rsidRPr="00782241" w:rsidRDefault="00DB7208">
            <w:pPr>
              <w:pStyle w:val="TableText"/>
              <w:rPr>
                <w:lang w:eastAsia="ko-KR"/>
              </w:rPr>
            </w:pPr>
            <w:r w:rsidRPr="00782241">
              <w:rPr>
                <w:lang w:eastAsia="ko-KR"/>
              </w:rPr>
              <w:t>Comoros</w:t>
            </w:r>
          </w:p>
        </w:tc>
        <w:tc>
          <w:tcPr>
            <w:tcW w:w="1406" w:type="dxa"/>
          </w:tcPr>
          <w:p w14:paraId="0278DDCB" w14:textId="77777777" w:rsidR="00DB7208" w:rsidRPr="00782241" w:rsidRDefault="00DB7208">
            <w:pPr>
              <w:pStyle w:val="TableText"/>
              <w:rPr>
                <w:lang w:eastAsia="ko-KR"/>
              </w:rPr>
            </w:pPr>
            <w:r w:rsidRPr="00782241">
              <w:rPr>
                <w:lang w:eastAsia="ko-KR"/>
              </w:rPr>
              <w:t>Morocco</w:t>
            </w:r>
          </w:p>
        </w:tc>
        <w:tc>
          <w:tcPr>
            <w:tcW w:w="2433" w:type="dxa"/>
          </w:tcPr>
          <w:p w14:paraId="71E177CE" w14:textId="77777777" w:rsidR="00DB7208" w:rsidRPr="00782241" w:rsidRDefault="00DB7208">
            <w:pPr>
              <w:pStyle w:val="TableText"/>
              <w:rPr>
                <w:lang w:eastAsia="ko-KR"/>
              </w:rPr>
            </w:pPr>
            <w:r w:rsidRPr="00782241">
              <w:rPr>
                <w:lang w:eastAsia="ko-KR"/>
              </w:rPr>
              <w:t>Readiness phase ongoing</w:t>
            </w:r>
          </w:p>
        </w:tc>
        <w:tc>
          <w:tcPr>
            <w:tcW w:w="1764" w:type="dxa"/>
          </w:tcPr>
          <w:p w14:paraId="71BE097B" w14:textId="77777777" w:rsidR="00DB7208" w:rsidRPr="00782241" w:rsidRDefault="00DB7208">
            <w:pPr>
              <w:pStyle w:val="TableText"/>
              <w:rPr>
                <w:lang w:eastAsia="ko-KR"/>
              </w:rPr>
            </w:pPr>
            <w:r w:rsidRPr="00782241">
              <w:rPr>
                <w:lang w:eastAsia="ko-KR"/>
              </w:rPr>
              <w:t>-</w:t>
            </w:r>
          </w:p>
        </w:tc>
        <w:tc>
          <w:tcPr>
            <w:tcW w:w="1612" w:type="dxa"/>
          </w:tcPr>
          <w:p w14:paraId="227E96F7" w14:textId="77777777" w:rsidR="00DB7208" w:rsidRPr="00782241" w:rsidRDefault="00DB7208">
            <w:pPr>
              <w:pStyle w:val="TableText"/>
              <w:rPr>
                <w:lang w:eastAsia="ko-KR"/>
              </w:rPr>
            </w:pPr>
            <w:r w:rsidRPr="00782241">
              <w:rPr>
                <w:lang w:eastAsia="ko-KR"/>
              </w:rPr>
              <w:t>Pending</w:t>
            </w:r>
          </w:p>
        </w:tc>
      </w:tr>
    </w:tbl>
    <w:p w14:paraId="5552972E" w14:textId="77777777" w:rsidR="00DB7208" w:rsidRDefault="00DB7208" w:rsidP="00DB7208">
      <w:pPr>
        <w:rPr>
          <w:lang w:eastAsia="ko-KR"/>
        </w:rPr>
      </w:pPr>
    </w:p>
    <w:p w14:paraId="62061815" w14:textId="60871D4C" w:rsidR="00104EB4" w:rsidRDefault="3B8794C2" w:rsidP="06553CDB">
      <w:pPr>
        <w:pStyle w:val="Heading1"/>
        <w:numPr>
          <w:ilvl w:val="0"/>
          <w:numId w:val="0"/>
        </w:numPr>
        <w:ind w:left="432" w:hanging="432"/>
        <w:rPr>
          <w:rFonts w:eastAsia="Malgun Gothic" w:cs="Open Sans"/>
          <w:lang w:eastAsia="ko-KR"/>
        </w:rPr>
      </w:pPr>
      <w:bookmarkStart w:id="17" w:name="_Toc1674654497"/>
      <w:r w:rsidRPr="06553CDB">
        <w:rPr>
          <w:rFonts w:eastAsia="Malgun Gothic" w:cs="Open Sans"/>
          <w:lang w:eastAsia="ko-KR"/>
        </w:rPr>
        <w:t>4.</w:t>
      </w:r>
      <w:r w:rsidR="00104EB4" w:rsidRPr="06553CDB">
        <w:rPr>
          <w:rFonts w:eastAsia="Malgun Gothic" w:cs="Open Sans"/>
          <w:lang w:eastAsia="ko-KR"/>
        </w:rPr>
        <w:t xml:space="preserve"> SOFF </w:t>
      </w:r>
      <w:r w:rsidR="00E10B4C" w:rsidRPr="06553CDB">
        <w:rPr>
          <w:rFonts w:eastAsia="Malgun Gothic" w:cs="Open Sans"/>
          <w:lang w:eastAsia="ko-KR"/>
        </w:rPr>
        <w:t>Community of Practice</w:t>
      </w:r>
      <w:bookmarkEnd w:id="17"/>
    </w:p>
    <w:p w14:paraId="0BD255C7" w14:textId="7C8548FD" w:rsidR="00104EB4" w:rsidRPr="00E10B4C" w:rsidRDefault="00E10B4C" w:rsidP="00E10B4C">
      <w:pPr>
        <w:pStyle w:val="Heading2"/>
        <w:rPr>
          <w:lang w:eastAsia="ko-KR"/>
        </w:rPr>
      </w:pPr>
      <w:bookmarkStart w:id="18" w:name="_Toc1078096327"/>
      <w:r w:rsidRPr="06553CDB">
        <w:rPr>
          <w:lang w:eastAsia="ko-KR"/>
        </w:rPr>
        <w:t>4.1 R</w:t>
      </w:r>
      <w:r w:rsidR="00104EB4" w:rsidRPr="06553CDB">
        <w:rPr>
          <w:lang w:eastAsia="ko-KR"/>
        </w:rPr>
        <w:t>egional workshops and engagements</w:t>
      </w:r>
      <w:bookmarkEnd w:id="18"/>
    </w:p>
    <w:p w14:paraId="1F316798" w14:textId="77777777" w:rsidR="00104EB4" w:rsidRDefault="00104EB4" w:rsidP="00104EB4">
      <w:hyperlink r:id="rId29">
        <w:r w:rsidRPr="14FAF8EC">
          <w:rPr>
            <w:rStyle w:val="Hyperlink"/>
            <w:lang w:val="en-US" w:eastAsia="ko-KR"/>
          </w:rPr>
          <w:t>Intersessional Decision 2.1</w:t>
        </w:r>
      </w:hyperlink>
      <w:r w:rsidRPr="14FAF8EC">
        <w:rPr>
          <w:lang w:val="en-US" w:eastAsia="ko-KR"/>
        </w:rPr>
        <w:t xml:space="preserve"> and </w:t>
      </w:r>
      <w:hyperlink r:id="rId30">
        <w:r w:rsidRPr="14FAF8EC">
          <w:rPr>
            <w:rStyle w:val="Hyperlink"/>
            <w:lang w:val="en-US" w:eastAsia="ko-KR"/>
          </w:rPr>
          <w:t>Decision 9.4</w:t>
        </w:r>
      </w:hyperlink>
      <w:r w:rsidRPr="14FAF8EC">
        <w:rPr>
          <w:lang w:val="en-US" w:eastAsia="ko-KR"/>
        </w:rPr>
        <w:t xml:space="preserve"> welcomed and encouraged increased </w:t>
      </w:r>
      <w:r>
        <w:rPr>
          <w:lang w:val="en-US" w:eastAsia="ko-KR"/>
        </w:rPr>
        <w:t xml:space="preserve">SOFF </w:t>
      </w:r>
      <w:r w:rsidRPr="14FAF8EC">
        <w:rPr>
          <w:lang w:val="en-US" w:eastAsia="ko-KR"/>
        </w:rPr>
        <w:t>regional collaboration and partnerships</w:t>
      </w:r>
      <w:r w:rsidRPr="73310078">
        <w:rPr>
          <w:lang w:val="en-US" w:eastAsia="ko-KR"/>
        </w:rPr>
        <w:t xml:space="preserve"> with the SOFF operational community.</w:t>
      </w:r>
      <w:r w:rsidRPr="14FAF8EC">
        <w:rPr>
          <w:lang w:val="en-US" w:eastAsia="ko-KR"/>
        </w:rPr>
        <w:t xml:space="preserve"> </w:t>
      </w:r>
      <w:r w:rsidRPr="00307326">
        <w:t>As previously reported, the</w:t>
      </w:r>
      <w:r>
        <w:t>se</w:t>
      </w:r>
      <w:r w:rsidRPr="00307326">
        <w:t xml:space="preserve"> regional workshops and engagements continue to play a valuable role in fostering a coordinated approach as more countries complete the Readiness phase and </w:t>
      </w:r>
      <w:r w:rsidRPr="00E063C0">
        <w:t>begin implementing activities under the Investment phase.</w:t>
      </w:r>
    </w:p>
    <w:p w14:paraId="456003D1" w14:textId="77777777" w:rsidR="00104EB4" w:rsidRDefault="00104EB4" w:rsidP="00104EB4">
      <w:pPr>
        <w:rPr>
          <w:lang w:eastAsia="ko-KR"/>
        </w:rPr>
      </w:pPr>
      <w:r w:rsidRPr="005E074A">
        <w:t>To support this, an African regional workshop for thirteen countries in the Investment phase</w:t>
      </w:r>
      <w:r>
        <w:t xml:space="preserve"> (</w:t>
      </w:r>
      <w:r w:rsidRPr="005E074A">
        <w:t>either with approved projects or in the pipeline</w:t>
      </w:r>
      <w:r>
        <w:t xml:space="preserve">), </w:t>
      </w:r>
      <w:r w:rsidRPr="005E074A">
        <w:t xml:space="preserve">and a Peer Advisor and Implementing Entity workshop are </w:t>
      </w:r>
      <w:r>
        <w:t>taking place</w:t>
      </w:r>
      <w:r w:rsidRPr="005E074A">
        <w:t xml:space="preserve"> in Casablanca, Morocco, co-hosted by the General Directorate of Meteorology (DGM</w:t>
      </w:r>
      <w:r>
        <w:t>) ahead of the 12</w:t>
      </w:r>
      <w:r w:rsidRPr="306A31BA">
        <w:rPr>
          <w:vertAlign w:val="superscript"/>
        </w:rPr>
        <w:t>th</w:t>
      </w:r>
      <w:r>
        <w:t xml:space="preserve"> SOFF Steering Committee. </w:t>
      </w:r>
    </w:p>
    <w:p w14:paraId="0F7F3B5A" w14:textId="77777777" w:rsidR="00104EB4" w:rsidRDefault="00104EB4" w:rsidP="00104EB4">
      <w:pPr>
        <w:rPr>
          <w:lang w:eastAsia="ko-KR"/>
        </w:rPr>
      </w:pPr>
      <w:r w:rsidRPr="005E074A">
        <w:t xml:space="preserve">The Africa Regional Workshop on Investment Phase Implementation (1–3 October) will focus on identifying synergies across countries, </w:t>
      </w:r>
      <w:r>
        <w:t xml:space="preserve">regional collaboration and </w:t>
      </w:r>
      <w:r w:rsidRPr="005E074A">
        <w:t xml:space="preserve">addressing common challenges in GBON compliance and observational infrastructure and sharing experiences from early implementation. The Peer Advisor and Implementing Entity Workshop (6–8 October) will provide a platform for exchanging lessons learned, discussing procurement and private sector engagement, and strengthening coordination among SOFF partners. Both workshops will include dedicated sessions for consulting on the </w:t>
      </w:r>
      <w:r>
        <w:t>C</w:t>
      </w:r>
      <w:r w:rsidRPr="005E074A">
        <w:t xml:space="preserve">ompliance and the Monitoring, Evaluation, and Learning (MEL) </w:t>
      </w:r>
      <w:r>
        <w:t xml:space="preserve">frameworks. </w:t>
      </w:r>
      <w:r w:rsidRPr="306A31BA">
        <w:rPr>
          <w:lang w:eastAsia="ko-KR"/>
        </w:rPr>
        <w:t>More information on these workshop is available </w:t>
      </w:r>
      <w:hyperlink r:id="rId31">
        <w:r w:rsidRPr="306A31BA">
          <w:rPr>
            <w:rStyle w:val="Hyperlink"/>
            <w:lang w:eastAsia="ko-KR"/>
          </w:rPr>
          <w:t>here</w:t>
        </w:r>
      </w:hyperlink>
      <w:r w:rsidRPr="306A31BA">
        <w:rPr>
          <w:lang w:eastAsia="ko-KR"/>
        </w:rPr>
        <w:t> and </w:t>
      </w:r>
      <w:hyperlink r:id="rId32">
        <w:r w:rsidRPr="306A31BA">
          <w:rPr>
            <w:rStyle w:val="Hyperlink"/>
            <w:lang w:eastAsia="ko-KR"/>
          </w:rPr>
          <w:t>here</w:t>
        </w:r>
      </w:hyperlink>
      <w:r w:rsidRPr="306A31BA">
        <w:rPr>
          <w:lang w:eastAsia="ko-KR"/>
        </w:rPr>
        <w:t>.</w:t>
      </w:r>
    </w:p>
    <w:p w14:paraId="1F1497AE" w14:textId="56F2D868" w:rsidR="00104EB4" w:rsidRDefault="00E10B4C" w:rsidP="00E10B4C">
      <w:pPr>
        <w:pStyle w:val="Heading2"/>
        <w:rPr>
          <w:lang w:eastAsia="ko-KR"/>
        </w:rPr>
      </w:pPr>
      <w:bookmarkStart w:id="19" w:name="_Toc196471697"/>
      <w:bookmarkStart w:id="20" w:name="_Toc2046968438"/>
      <w:r w:rsidRPr="06553CDB">
        <w:rPr>
          <w:lang w:eastAsia="ko-KR"/>
        </w:rPr>
        <w:lastRenderedPageBreak/>
        <w:t>4</w:t>
      </w:r>
      <w:r w:rsidR="00104EB4" w:rsidRPr="06553CDB">
        <w:rPr>
          <w:lang w:eastAsia="ko-KR"/>
        </w:rPr>
        <w:t>.</w:t>
      </w:r>
      <w:r w:rsidRPr="06553CDB">
        <w:rPr>
          <w:lang w:eastAsia="ko-KR"/>
        </w:rPr>
        <w:t>2</w:t>
      </w:r>
      <w:r w:rsidR="00104EB4" w:rsidRPr="06553CDB">
        <w:rPr>
          <w:lang w:eastAsia="ko-KR"/>
        </w:rPr>
        <w:t xml:space="preserve">. </w:t>
      </w:r>
      <w:bookmarkEnd w:id="19"/>
      <w:r w:rsidRPr="06553CDB">
        <w:rPr>
          <w:lang w:eastAsia="ko-KR"/>
        </w:rPr>
        <w:t>Webinars and Moodle platform</w:t>
      </w:r>
      <w:bookmarkEnd w:id="20"/>
    </w:p>
    <w:p w14:paraId="740BB996" w14:textId="77777777" w:rsidR="00104EB4" w:rsidRPr="00A51F76" w:rsidRDefault="00104EB4" w:rsidP="00104EB4">
      <w:pPr>
        <w:rPr>
          <w:lang w:eastAsia="ko-KR"/>
        </w:rPr>
      </w:pPr>
      <w:r w:rsidRPr="00A51F76">
        <w:rPr>
          <w:lang w:eastAsia="ko-KR"/>
        </w:rPr>
        <w:t>SOFF continues to invest in strengthening its operational community through targeted engagement, knowledge-sharing platforms, and collaborative events. A key milestone in this effort is the development of the </w:t>
      </w:r>
      <w:hyperlink r:id="rId33" w:anchor="section-0">
        <w:r w:rsidRPr="00500505">
          <w:rPr>
            <w:rStyle w:val="Hyperlink"/>
            <w:rFonts w:cs="Open Sans"/>
            <w:b/>
            <w:bCs/>
            <w:szCs w:val="22"/>
          </w:rPr>
          <w:t>SOFF Moodle platform</w:t>
        </w:r>
      </w:hyperlink>
      <w:r w:rsidRPr="00A51F76">
        <w:rPr>
          <w:lang w:eastAsia="ko-KR"/>
        </w:rPr>
        <w:t>, designed to support Peer Advisors</w:t>
      </w:r>
      <w:r>
        <w:rPr>
          <w:lang w:eastAsia="ko-KR"/>
        </w:rPr>
        <w:t xml:space="preserve">, </w:t>
      </w:r>
      <w:r w:rsidRPr="00A51F76">
        <w:rPr>
          <w:lang w:eastAsia="ko-KR"/>
        </w:rPr>
        <w:t xml:space="preserve">Implementing Entities (IEs) </w:t>
      </w:r>
      <w:r>
        <w:rPr>
          <w:lang w:eastAsia="ko-KR"/>
        </w:rPr>
        <w:t xml:space="preserve">and </w:t>
      </w:r>
      <w:r w:rsidRPr="00A51F76">
        <w:rPr>
          <w:lang w:eastAsia="ko-KR"/>
        </w:rPr>
        <w:t>National Meteorological and Hydrological Services (NMHSs)</w:t>
      </w:r>
      <w:r>
        <w:rPr>
          <w:lang w:eastAsia="ko-KR"/>
        </w:rPr>
        <w:t xml:space="preserve"> </w:t>
      </w:r>
      <w:r w:rsidRPr="00A51F76">
        <w:rPr>
          <w:lang w:eastAsia="ko-KR"/>
        </w:rPr>
        <w:t xml:space="preserve">with technical resources, templates, and interactive forums. </w:t>
      </w:r>
    </w:p>
    <w:p w14:paraId="00DBA55C" w14:textId="77777777" w:rsidR="00104EB4" w:rsidRDefault="00104EB4" w:rsidP="00104EB4">
      <w:pPr>
        <w:rPr>
          <w:lang w:eastAsia="ko-KR"/>
        </w:rPr>
      </w:pPr>
      <w:r w:rsidRPr="00A51F76">
        <w:rPr>
          <w:lang w:eastAsia="ko-KR"/>
        </w:rPr>
        <w:t xml:space="preserve">Discussion forums on the Moodle platform have become active hubs for technical exchange. Topics currently being addressed include calibration planning for GBON stations, reporting requirements, implementation of WIGOS and WDQMS standards, and strategies for engaging the private sector in infrastructure development. </w:t>
      </w:r>
    </w:p>
    <w:p w14:paraId="05636343" w14:textId="77777777" w:rsidR="00104EB4" w:rsidRPr="00A51F76" w:rsidRDefault="00104EB4" w:rsidP="00104EB4">
      <w:pPr>
        <w:rPr>
          <w:lang w:eastAsia="ko-KR"/>
        </w:rPr>
      </w:pPr>
      <w:r w:rsidRPr="00A51F76">
        <w:rPr>
          <w:lang w:eastAsia="ko-KR"/>
        </w:rPr>
        <w:t>A joint webinar was held on 9 September 2025, co-hosted by SOFF and the HydroMeteorological and Environmental Industry (HMEI), bringing together Peer Advisors</w:t>
      </w:r>
      <w:r w:rsidRPr="306A31BA">
        <w:rPr>
          <w:lang w:eastAsia="ko-KR"/>
        </w:rPr>
        <w:t xml:space="preserve">, </w:t>
      </w:r>
      <w:r w:rsidRPr="00A51F76">
        <w:rPr>
          <w:lang w:eastAsia="ko-KR"/>
        </w:rPr>
        <w:t>Implementing Entities</w:t>
      </w:r>
      <w:r w:rsidRPr="306A31BA">
        <w:rPr>
          <w:lang w:eastAsia="ko-KR"/>
        </w:rPr>
        <w:t xml:space="preserve"> and private sector representatives.</w:t>
      </w:r>
      <w:r w:rsidRPr="00A51F76">
        <w:rPr>
          <w:lang w:eastAsia="ko-KR"/>
        </w:rPr>
        <w:t xml:space="preserve"> The session focused on enhancing collaboration with the private sector, particularly in areas such as calibration services, data management systems, and procurement strategies</w:t>
      </w:r>
      <w:r>
        <w:rPr>
          <w:lang w:eastAsia="ko-KR"/>
        </w:rPr>
        <w:t xml:space="preserve"> (</w:t>
      </w:r>
      <w:hyperlink>
        <w:r w:rsidRPr="306A31BA">
          <w:rPr>
            <w:rStyle w:val="Hyperlink"/>
            <w:lang w:eastAsia="ko-KR"/>
          </w:rPr>
          <w:t>recording here</w:t>
        </w:r>
      </w:hyperlink>
      <w:r w:rsidRPr="306A31BA">
        <w:rPr>
          <w:lang w:eastAsia="ko-KR"/>
        </w:rPr>
        <w:t>).</w:t>
      </w:r>
    </w:p>
    <w:p w14:paraId="7319452C" w14:textId="7252ECFF" w:rsidR="001C4E8F" w:rsidRPr="00A51F76" w:rsidRDefault="00E65009" w:rsidP="00104EB4">
      <w:pPr>
        <w:rPr>
          <w:lang w:eastAsia="ko-KR"/>
        </w:rPr>
      </w:pPr>
      <w:r w:rsidRPr="00E65009">
        <w:rPr>
          <w:lang w:eastAsia="ko-KR"/>
        </w:rPr>
        <w:t>The SOFF Secretariat and the WMO Technical Authority, in collaboration with partners, have coordinated a series of technical webinars to exchange knowledge, share lessons learned, and support countries in implementing SOFF. These webinars have covered a range of topics, including country hydromet diagnostics, GBON national contributions, WIS 2.0 implementation, calibration of instruments, and engagement with peer advisors and the private sector. The sessions are summarized below</w:t>
      </w:r>
      <w:r>
        <w:rPr>
          <w:lang w:eastAsia="ko-KR"/>
        </w:rPr>
        <w:t xml:space="preserve"> in </w:t>
      </w:r>
      <w:r w:rsidR="001C4E8F">
        <w:rPr>
          <w:lang w:eastAsia="ko-KR"/>
        </w:rPr>
        <w:t>Table</w:t>
      </w:r>
      <w:r w:rsidR="001C4E8F" w:rsidRPr="001C4E8F">
        <w:rPr>
          <w:lang w:eastAsia="ko-KR"/>
        </w:rPr>
        <w:t xml:space="preserve"> </w:t>
      </w:r>
      <w:r w:rsidR="001C4E8F">
        <w:rPr>
          <w:lang w:eastAsia="ko-KR"/>
        </w:rPr>
        <w:t>2</w:t>
      </w:r>
      <w:r>
        <w:rPr>
          <w:lang w:eastAsia="ko-KR"/>
        </w:rPr>
        <w:t>.</w:t>
      </w:r>
    </w:p>
    <w:p w14:paraId="4A93F37B" w14:textId="51A678A7" w:rsidR="00104EB4" w:rsidRDefault="00104EB4" w:rsidP="00104EB4">
      <w:pPr>
        <w:pStyle w:val="Caption"/>
      </w:pPr>
      <w:r w:rsidRPr="0040079B">
        <w:rPr>
          <w:b/>
          <w:bCs/>
        </w:rPr>
        <w:t xml:space="preserve">Table </w:t>
      </w:r>
      <w:r w:rsidR="001C4E8F">
        <w:rPr>
          <w:b/>
          <w:bCs/>
        </w:rPr>
        <w:t>2</w:t>
      </w:r>
      <w:r w:rsidRPr="0040079B">
        <w:rPr>
          <w:b/>
          <w:bCs/>
        </w:rPr>
        <w:t>.</w:t>
      </w:r>
      <w:r w:rsidRPr="0040079B">
        <w:t xml:space="preserve"> </w:t>
      </w:r>
      <w:r>
        <w:t>Summary of technical webinars coordinated by the SOFF Secretariat and WMO Technical Authority together with partners</w:t>
      </w:r>
    </w:p>
    <w:tbl>
      <w:tblPr>
        <w:tblStyle w:val="TableGrid"/>
        <w:tblW w:w="0" w:type="auto"/>
        <w:tblLook w:val="04A0" w:firstRow="1" w:lastRow="0" w:firstColumn="1" w:lastColumn="0" w:noHBand="0" w:noVBand="1"/>
      </w:tblPr>
      <w:tblGrid>
        <w:gridCol w:w="2425"/>
        <w:gridCol w:w="6501"/>
      </w:tblGrid>
      <w:tr w:rsidR="00104EB4" w:rsidRPr="002C2DB6" w14:paraId="433BD16C" w14:textId="77777777" w:rsidTr="112580C2">
        <w:trPr>
          <w:trHeight w:val="300"/>
        </w:trPr>
        <w:tc>
          <w:tcPr>
            <w:tcW w:w="2425" w:type="dxa"/>
            <w:shd w:val="clear" w:color="auto" w:fill="1C3353" w:themeFill="accent1"/>
          </w:tcPr>
          <w:p w14:paraId="28F0A27B" w14:textId="77777777" w:rsidR="00104EB4" w:rsidRPr="002C2DB6" w:rsidRDefault="00104EB4">
            <w:pPr>
              <w:pStyle w:val="TableHeading"/>
              <w:rPr>
                <w:rFonts w:cs="Open Sans"/>
                <w:b w:val="0"/>
                <w:sz w:val="20"/>
                <w:szCs w:val="20"/>
              </w:rPr>
            </w:pPr>
            <w:r w:rsidRPr="002C2DB6">
              <w:t>Date</w:t>
            </w:r>
          </w:p>
        </w:tc>
        <w:tc>
          <w:tcPr>
            <w:tcW w:w="6501" w:type="dxa"/>
            <w:shd w:val="clear" w:color="auto" w:fill="1C3353" w:themeFill="accent1"/>
          </w:tcPr>
          <w:p w14:paraId="329618A2" w14:textId="77777777" w:rsidR="00104EB4" w:rsidRPr="002C2DB6" w:rsidRDefault="00104EB4">
            <w:pPr>
              <w:pStyle w:val="TableHeading"/>
              <w:rPr>
                <w:rFonts w:cs="Open Sans"/>
                <w:b w:val="0"/>
                <w:sz w:val="20"/>
                <w:szCs w:val="20"/>
              </w:rPr>
            </w:pPr>
            <w:r w:rsidRPr="002C2DB6">
              <w:t>Technical webinars</w:t>
            </w:r>
          </w:p>
        </w:tc>
      </w:tr>
      <w:tr w:rsidR="00104EB4" w:rsidRPr="002C2DB6" w14:paraId="0D9B5B64" w14:textId="77777777">
        <w:trPr>
          <w:trHeight w:val="300"/>
        </w:trPr>
        <w:tc>
          <w:tcPr>
            <w:tcW w:w="2425" w:type="dxa"/>
          </w:tcPr>
          <w:p w14:paraId="68DDFC84" w14:textId="77777777" w:rsidR="00104EB4" w:rsidRPr="002C2DB6" w:rsidRDefault="00104EB4">
            <w:pPr>
              <w:pStyle w:val="TableText"/>
            </w:pPr>
            <w:r w:rsidRPr="002C2DB6">
              <w:t>7 Feb</w:t>
            </w:r>
            <w:r w:rsidRPr="002C2DB6">
              <w:rPr>
                <w:rFonts w:hint="eastAsia"/>
                <w:lang w:eastAsia="ko-KR"/>
              </w:rPr>
              <w:t>ruary</w:t>
            </w:r>
            <w:r w:rsidRPr="002C2DB6">
              <w:t xml:space="preserve"> 2024</w:t>
            </w:r>
          </w:p>
        </w:tc>
        <w:tc>
          <w:tcPr>
            <w:tcW w:w="6501" w:type="dxa"/>
          </w:tcPr>
          <w:p w14:paraId="272D3D74" w14:textId="77777777" w:rsidR="00104EB4" w:rsidRPr="002C2DB6" w:rsidRDefault="00104EB4">
            <w:pPr>
              <w:pStyle w:val="TableText"/>
            </w:pPr>
            <w:r w:rsidRPr="002C2DB6">
              <w:t>Knowledge sharing and lessons learned from preparing Country Hydromet Diagnostics</w:t>
            </w:r>
          </w:p>
        </w:tc>
      </w:tr>
      <w:tr w:rsidR="00104EB4" w:rsidRPr="002C2DB6" w14:paraId="59D3328C" w14:textId="77777777">
        <w:trPr>
          <w:trHeight w:val="300"/>
        </w:trPr>
        <w:tc>
          <w:tcPr>
            <w:tcW w:w="2425" w:type="dxa"/>
          </w:tcPr>
          <w:p w14:paraId="1C0DD369" w14:textId="77777777" w:rsidR="00104EB4" w:rsidRPr="002C2DB6" w:rsidRDefault="00104EB4">
            <w:pPr>
              <w:pStyle w:val="TableText"/>
            </w:pPr>
            <w:r w:rsidRPr="002C2DB6">
              <w:t>16 Feb</w:t>
            </w:r>
            <w:r w:rsidRPr="002C2DB6">
              <w:rPr>
                <w:rFonts w:hint="eastAsia"/>
                <w:lang w:eastAsia="ko-KR"/>
              </w:rPr>
              <w:t>ruary</w:t>
            </w:r>
            <w:r w:rsidRPr="002C2DB6">
              <w:t xml:space="preserve"> 2024</w:t>
            </w:r>
          </w:p>
        </w:tc>
        <w:tc>
          <w:tcPr>
            <w:tcW w:w="6501" w:type="dxa"/>
          </w:tcPr>
          <w:p w14:paraId="597432F1" w14:textId="77777777" w:rsidR="00104EB4" w:rsidRPr="002C2DB6" w:rsidRDefault="00104EB4">
            <w:pPr>
              <w:pStyle w:val="TableText"/>
              <w:rPr>
                <w:lang w:val="fr-CH"/>
              </w:rPr>
            </w:pPr>
            <w:r w:rsidRPr="002C2DB6">
              <w:rPr>
                <w:lang w:val="fr-CH"/>
              </w:rPr>
              <w:t>GBON National Contribution Plan lessons learned.</w:t>
            </w:r>
          </w:p>
        </w:tc>
      </w:tr>
      <w:tr w:rsidR="00104EB4" w:rsidRPr="002C2DB6" w14:paraId="3212C0FD" w14:textId="77777777">
        <w:trPr>
          <w:trHeight w:val="300"/>
        </w:trPr>
        <w:tc>
          <w:tcPr>
            <w:tcW w:w="2425" w:type="dxa"/>
          </w:tcPr>
          <w:p w14:paraId="16470D63" w14:textId="77777777" w:rsidR="00104EB4" w:rsidRPr="002C2DB6" w:rsidRDefault="00104EB4">
            <w:pPr>
              <w:pStyle w:val="TableText"/>
            </w:pPr>
            <w:r w:rsidRPr="002C2DB6">
              <w:t>28 May 2024</w:t>
            </w:r>
          </w:p>
        </w:tc>
        <w:tc>
          <w:tcPr>
            <w:tcW w:w="6501" w:type="dxa"/>
          </w:tcPr>
          <w:p w14:paraId="3ED9515A" w14:textId="77777777" w:rsidR="00104EB4" w:rsidRPr="002C2DB6" w:rsidRDefault="00104EB4">
            <w:pPr>
              <w:pStyle w:val="TableText"/>
            </w:pPr>
            <w:r w:rsidRPr="002C2DB6">
              <w:t>Engagement with SOFF peer advisors on WIS 2.0</w:t>
            </w:r>
          </w:p>
        </w:tc>
      </w:tr>
      <w:tr w:rsidR="00104EB4" w:rsidRPr="002C2DB6" w14:paraId="1F166E62" w14:textId="77777777">
        <w:trPr>
          <w:trHeight w:val="300"/>
        </w:trPr>
        <w:tc>
          <w:tcPr>
            <w:tcW w:w="2425" w:type="dxa"/>
          </w:tcPr>
          <w:p w14:paraId="148274D7" w14:textId="77777777" w:rsidR="00104EB4" w:rsidRPr="002C2DB6" w:rsidRDefault="00104EB4">
            <w:pPr>
              <w:pStyle w:val="TableText"/>
            </w:pPr>
            <w:r w:rsidRPr="002C2DB6">
              <w:t>7 Nov</w:t>
            </w:r>
            <w:r w:rsidRPr="002C2DB6">
              <w:rPr>
                <w:rFonts w:hint="eastAsia"/>
                <w:lang w:eastAsia="ko-KR"/>
              </w:rPr>
              <w:t>ember</w:t>
            </w:r>
            <w:r w:rsidRPr="002C2DB6">
              <w:t xml:space="preserve"> 2024</w:t>
            </w:r>
          </w:p>
        </w:tc>
        <w:tc>
          <w:tcPr>
            <w:tcW w:w="6501" w:type="dxa"/>
          </w:tcPr>
          <w:p w14:paraId="6BC92828" w14:textId="77777777" w:rsidR="00104EB4" w:rsidRPr="002C2DB6" w:rsidRDefault="00104EB4">
            <w:pPr>
              <w:pStyle w:val="TableText"/>
            </w:pPr>
            <w:r w:rsidRPr="002C2DB6">
              <w:t>Follow up on WIS 2.0 towards SOFF implementation</w:t>
            </w:r>
          </w:p>
        </w:tc>
      </w:tr>
      <w:tr w:rsidR="00104EB4" w:rsidRPr="002C2DB6" w14:paraId="147FBF28" w14:textId="77777777">
        <w:trPr>
          <w:trHeight w:val="300"/>
        </w:trPr>
        <w:tc>
          <w:tcPr>
            <w:tcW w:w="2425" w:type="dxa"/>
          </w:tcPr>
          <w:p w14:paraId="3A957626" w14:textId="77777777" w:rsidR="00104EB4" w:rsidRPr="002C2DB6" w:rsidRDefault="00104EB4">
            <w:pPr>
              <w:pStyle w:val="TableText"/>
            </w:pPr>
            <w:r w:rsidRPr="002C2DB6">
              <w:t>12 Nov</w:t>
            </w:r>
            <w:r w:rsidRPr="002C2DB6">
              <w:rPr>
                <w:rFonts w:hint="eastAsia"/>
                <w:lang w:eastAsia="ko-KR"/>
              </w:rPr>
              <w:t>ember</w:t>
            </w:r>
            <w:r w:rsidRPr="002C2DB6">
              <w:t xml:space="preserve"> 2024</w:t>
            </w:r>
          </w:p>
        </w:tc>
        <w:tc>
          <w:tcPr>
            <w:tcW w:w="6501" w:type="dxa"/>
          </w:tcPr>
          <w:p w14:paraId="12E273C3" w14:textId="77777777" w:rsidR="00104EB4" w:rsidRPr="002C2DB6" w:rsidRDefault="00104EB4">
            <w:pPr>
              <w:pStyle w:val="TableText"/>
            </w:pPr>
            <w:r w:rsidRPr="002C2DB6">
              <w:t>Calibration approaches for instruments at GBON stations</w:t>
            </w:r>
          </w:p>
        </w:tc>
      </w:tr>
      <w:tr w:rsidR="00104EB4" w:rsidRPr="002C2DB6" w14:paraId="219F8439" w14:textId="77777777">
        <w:trPr>
          <w:trHeight w:val="300"/>
        </w:trPr>
        <w:tc>
          <w:tcPr>
            <w:tcW w:w="2425" w:type="dxa"/>
          </w:tcPr>
          <w:p w14:paraId="03D527AB" w14:textId="77777777" w:rsidR="00104EB4" w:rsidRPr="002C2DB6" w:rsidRDefault="00104EB4">
            <w:pPr>
              <w:pStyle w:val="TableText"/>
            </w:pPr>
            <w:r w:rsidRPr="002C2DB6">
              <w:t>12 Dec</w:t>
            </w:r>
            <w:r w:rsidRPr="002C2DB6">
              <w:rPr>
                <w:rFonts w:hint="eastAsia"/>
                <w:lang w:eastAsia="ko-KR"/>
              </w:rPr>
              <w:t>ember</w:t>
            </w:r>
            <w:r w:rsidRPr="002C2DB6">
              <w:t xml:space="preserve"> 2024</w:t>
            </w:r>
          </w:p>
        </w:tc>
        <w:tc>
          <w:tcPr>
            <w:tcW w:w="6501" w:type="dxa"/>
          </w:tcPr>
          <w:p w14:paraId="235F7F33" w14:textId="77777777" w:rsidR="00104EB4" w:rsidRPr="002C2DB6" w:rsidRDefault="00104EB4">
            <w:pPr>
              <w:pStyle w:val="TableText"/>
            </w:pPr>
            <w:r w:rsidRPr="002C2DB6">
              <w:t>Follow up on WIS 2.0 towards SOFF implementation (2</w:t>
            </w:r>
            <w:r w:rsidRPr="002C2DB6">
              <w:rPr>
                <w:vertAlign w:val="superscript"/>
              </w:rPr>
              <w:t>nd</w:t>
            </w:r>
            <w:r w:rsidRPr="002C2DB6">
              <w:t xml:space="preserve"> session)</w:t>
            </w:r>
          </w:p>
        </w:tc>
      </w:tr>
      <w:tr w:rsidR="00104EB4" w:rsidRPr="002C2DB6" w14:paraId="19E0F390" w14:textId="77777777">
        <w:trPr>
          <w:trHeight w:val="300"/>
        </w:trPr>
        <w:tc>
          <w:tcPr>
            <w:tcW w:w="2425" w:type="dxa"/>
          </w:tcPr>
          <w:p w14:paraId="7FA03720" w14:textId="77777777" w:rsidR="00104EB4" w:rsidRPr="002C2DB6" w:rsidRDefault="00104EB4">
            <w:pPr>
              <w:pStyle w:val="TableText"/>
            </w:pPr>
            <w:r w:rsidRPr="002C2DB6">
              <w:t>26 March 2025</w:t>
            </w:r>
          </w:p>
        </w:tc>
        <w:tc>
          <w:tcPr>
            <w:tcW w:w="6501" w:type="dxa"/>
          </w:tcPr>
          <w:p w14:paraId="406FBE36" w14:textId="77777777" w:rsidR="00104EB4" w:rsidRPr="002C2DB6" w:rsidRDefault="00104EB4">
            <w:pPr>
              <w:pStyle w:val="TableText"/>
            </w:pPr>
            <w:r w:rsidRPr="002C2DB6">
              <w:t>Follow upon on WIS 2.0 and private sector engagement, in collaboration with HMEI - Available Offers for WIS 2.0 Node (3</w:t>
            </w:r>
            <w:r w:rsidRPr="002C2DB6">
              <w:rPr>
                <w:vertAlign w:val="superscript"/>
              </w:rPr>
              <w:t>rd</w:t>
            </w:r>
            <w:r w:rsidRPr="002C2DB6">
              <w:t xml:space="preserve"> session)</w:t>
            </w:r>
          </w:p>
        </w:tc>
      </w:tr>
      <w:tr w:rsidR="00104EB4" w14:paraId="5ED42E57" w14:textId="77777777">
        <w:trPr>
          <w:trHeight w:val="300"/>
        </w:trPr>
        <w:tc>
          <w:tcPr>
            <w:tcW w:w="2425" w:type="dxa"/>
          </w:tcPr>
          <w:p w14:paraId="65EC9BE6" w14:textId="74D15F2B" w:rsidR="00104EB4" w:rsidRPr="002C2DB6" w:rsidRDefault="404C28EF">
            <w:pPr>
              <w:pStyle w:val="TableText"/>
            </w:pPr>
            <w:r>
              <w:t>Q3</w:t>
            </w:r>
            <w:r w:rsidR="12B42B59">
              <w:t xml:space="preserve"> – Q4 </w:t>
            </w:r>
            <w:r>
              <w:t>2025</w:t>
            </w:r>
          </w:p>
        </w:tc>
        <w:tc>
          <w:tcPr>
            <w:tcW w:w="6501" w:type="dxa"/>
          </w:tcPr>
          <w:p w14:paraId="4125B66C" w14:textId="77777777" w:rsidR="00104EB4" w:rsidRPr="002C2DB6" w:rsidRDefault="00104EB4">
            <w:pPr>
              <w:pStyle w:val="TableText"/>
            </w:pPr>
            <w:r w:rsidRPr="002C2DB6">
              <w:t>Additional engagements with HMEI</w:t>
            </w:r>
          </w:p>
        </w:tc>
      </w:tr>
    </w:tbl>
    <w:p w14:paraId="016B2DC7" w14:textId="77777777" w:rsidR="00690701" w:rsidRDefault="00690701" w:rsidP="0019027D">
      <w:pPr>
        <w:spacing w:line="256" w:lineRule="auto"/>
        <w:rPr>
          <w:rFonts w:eastAsia="Malgun Gothic" w:cs="Open Sans"/>
          <w:lang w:eastAsia="ko-KR"/>
        </w:rPr>
      </w:pPr>
    </w:p>
    <w:p w14:paraId="0844431C" w14:textId="77777777" w:rsidR="009521D0" w:rsidRPr="00E03C5A" w:rsidRDefault="009521D0" w:rsidP="009521D0">
      <w:pPr>
        <w:rPr>
          <w:lang w:val="en-US" w:eastAsia="ko-KR"/>
        </w:rPr>
      </w:pPr>
    </w:p>
    <w:p w14:paraId="1AB9D1BB" w14:textId="77777777" w:rsidR="00690701" w:rsidRDefault="00690701" w:rsidP="0019027D">
      <w:pPr>
        <w:spacing w:line="256" w:lineRule="auto"/>
        <w:rPr>
          <w:rFonts w:eastAsia="Malgun Gothic" w:cs="Open Sans"/>
          <w:lang w:eastAsia="ko-KR"/>
        </w:rPr>
      </w:pPr>
    </w:p>
    <w:p w14:paraId="22BE9BA5" w14:textId="77777777" w:rsidR="00690701" w:rsidRDefault="00690701" w:rsidP="0019027D">
      <w:pPr>
        <w:spacing w:line="256" w:lineRule="auto"/>
        <w:rPr>
          <w:rFonts w:eastAsia="Malgun Gothic" w:cs="Open Sans"/>
          <w:lang w:eastAsia="ko-KR"/>
        </w:rPr>
      </w:pPr>
    </w:p>
    <w:p w14:paraId="6D30EF6B" w14:textId="77777777" w:rsidR="00690701" w:rsidRDefault="00690701" w:rsidP="0019027D">
      <w:pPr>
        <w:spacing w:line="256" w:lineRule="auto"/>
        <w:rPr>
          <w:rFonts w:eastAsia="Malgun Gothic" w:cs="Open Sans"/>
          <w:lang w:eastAsia="ko-KR"/>
        </w:rPr>
      </w:pPr>
    </w:p>
    <w:p w14:paraId="6D6F5DA6" w14:textId="77777777" w:rsidR="00690701" w:rsidRDefault="00690701" w:rsidP="0019027D">
      <w:pPr>
        <w:spacing w:line="256" w:lineRule="auto"/>
        <w:rPr>
          <w:rFonts w:eastAsia="Malgun Gothic" w:cs="Open Sans"/>
          <w:lang w:eastAsia="ko-KR"/>
        </w:rPr>
      </w:pPr>
    </w:p>
    <w:p w14:paraId="1C6CE6DF" w14:textId="77777777" w:rsidR="00690701" w:rsidRDefault="00690701" w:rsidP="0019027D">
      <w:pPr>
        <w:spacing w:line="256" w:lineRule="auto"/>
        <w:rPr>
          <w:rFonts w:eastAsia="Malgun Gothic" w:cs="Open Sans"/>
          <w:lang w:eastAsia="ko-KR"/>
        </w:rPr>
      </w:pPr>
    </w:p>
    <w:p w14:paraId="285A7E47" w14:textId="77777777" w:rsidR="00690701" w:rsidRDefault="00690701" w:rsidP="0019027D">
      <w:pPr>
        <w:spacing w:line="256" w:lineRule="auto"/>
        <w:rPr>
          <w:rFonts w:eastAsia="Malgun Gothic" w:cs="Open Sans"/>
          <w:lang w:eastAsia="ko-KR"/>
        </w:rPr>
      </w:pPr>
    </w:p>
    <w:p w14:paraId="6C09F528" w14:textId="77777777" w:rsidR="00690701" w:rsidRDefault="00690701" w:rsidP="0019027D">
      <w:pPr>
        <w:spacing w:line="256" w:lineRule="auto"/>
        <w:rPr>
          <w:rFonts w:eastAsia="Malgun Gothic" w:cs="Open Sans"/>
          <w:lang w:eastAsia="ko-KR"/>
        </w:rPr>
      </w:pPr>
    </w:p>
    <w:p w14:paraId="3722F2E9" w14:textId="77777777" w:rsidR="00690701" w:rsidRDefault="00690701" w:rsidP="0019027D">
      <w:pPr>
        <w:spacing w:line="256" w:lineRule="auto"/>
        <w:rPr>
          <w:rFonts w:eastAsia="Malgun Gothic" w:cs="Open Sans"/>
          <w:lang w:eastAsia="ko-KR"/>
        </w:rPr>
      </w:pPr>
    </w:p>
    <w:p w14:paraId="2DB4A71E" w14:textId="07881C0B" w:rsidR="00690701" w:rsidRDefault="00690701" w:rsidP="0019027D">
      <w:pPr>
        <w:spacing w:line="256" w:lineRule="auto"/>
        <w:rPr>
          <w:rFonts w:eastAsia="Malgun Gothic" w:cs="Open Sans"/>
          <w:lang w:eastAsia="ko-KR"/>
        </w:rPr>
      </w:pPr>
      <w:r>
        <w:rPr>
          <w:rFonts w:eastAsia="Malgun Gothic" w:cs="Open Sans"/>
          <w:lang w:eastAsia="ko-KR"/>
        </w:rPr>
        <w:br w:type="page"/>
      </w:r>
    </w:p>
    <w:p w14:paraId="0CBE9DB9" w14:textId="381B26CA" w:rsidR="00690701" w:rsidRPr="002E0C84" w:rsidRDefault="00690701" w:rsidP="00690701">
      <w:pPr>
        <w:pStyle w:val="Heading1"/>
        <w:numPr>
          <w:ilvl w:val="0"/>
          <w:numId w:val="0"/>
        </w:numPr>
        <w:ind w:left="432" w:hanging="432"/>
      </w:pPr>
      <w:bookmarkStart w:id="21" w:name="_Toc196471706"/>
      <w:bookmarkStart w:id="22" w:name="_Toc993926098"/>
      <w:r>
        <w:lastRenderedPageBreak/>
        <w:t>Annex</w:t>
      </w:r>
      <w:r w:rsidRPr="06553CDB">
        <w:rPr>
          <w:rFonts w:eastAsia="Malgun Gothic"/>
          <w:lang w:eastAsia="ko-KR"/>
        </w:rPr>
        <w:t xml:space="preserve"> 1: </w:t>
      </w:r>
      <w:bookmarkStart w:id="23" w:name="_Ref177476605"/>
      <w:r>
        <w:t>Country list: Programmed, Readiness, Investment</w:t>
      </w:r>
      <w:bookmarkEnd w:id="21"/>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45"/>
        <w:gridCol w:w="2203"/>
        <w:gridCol w:w="1780"/>
        <w:gridCol w:w="1197"/>
        <w:gridCol w:w="2541"/>
      </w:tblGrid>
      <w:tr w:rsidR="00690701" w:rsidRPr="00532B85" w14:paraId="431B3FE9" w14:textId="77777777" w:rsidTr="002A0E40">
        <w:trPr>
          <w:trHeight w:val="322"/>
          <w:tblHeader/>
        </w:trPr>
        <w:tc>
          <w:tcPr>
            <w:tcW w:w="471" w:type="pct"/>
            <w:shd w:val="clear" w:color="auto" w:fill="1C3353" w:themeFill="text2"/>
          </w:tcPr>
          <w:p w14:paraId="07B57A55" w14:textId="77777777" w:rsidR="00690701" w:rsidRPr="005649E5" w:rsidRDefault="00690701">
            <w:pPr>
              <w:pStyle w:val="TableHeading"/>
            </w:pPr>
            <w:r>
              <w:t>Batch</w:t>
            </w:r>
          </w:p>
        </w:tc>
        <w:tc>
          <w:tcPr>
            <w:tcW w:w="247" w:type="pct"/>
            <w:shd w:val="clear" w:color="auto" w:fill="1C3353" w:themeFill="text2"/>
            <w:vAlign w:val="center"/>
          </w:tcPr>
          <w:p w14:paraId="5822C43A" w14:textId="77777777" w:rsidR="00690701" w:rsidRPr="005649E5" w:rsidRDefault="00690701">
            <w:pPr>
              <w:pStyle w:val="TableHeading"/>
            </w:pPr>
          </w:p>
        </w:tc>
        <w:tc>
          <w:tcPr>
            <w:tcW w:w="1222" w:type="pct"/>
            <w:shd w:val="clear" w:color="auto" w:fill="1C3353" w:themeFill="text2"/>
            <w:vAlign w:val="center"/>
          </w:tcPr>
          <w:p w14:paraId="48CECB7F" w14:textId="77777777" w:rsidR="00690701" w:rsidRPr="00D56BB1" w:rsidRDefault="00690701">
            <w:pPr>
              <w:pStyle w:val="TableHeading"/>
              <w:rPr>
                <w:bCs/>
              </w:rPr>
            </w:pPr>
            <w:r w:rsidRPr="00D56BB1">
              <w:rPr>
                <w:bCs/>
              </w:rPr>
              <w:t>Country</w:t>
            </w:r>
          </w:p>
        </w:tc>
        <w:tc>
          <w:tcPr>
            <w:tcW w:w="987" w:type="pct"/>
            <w:shd w:val="clear" w:color="auto" w:fill="1C3353" w:themeFill="text2"/>
            <w:vAlign w:val="center"/>
          </w:tcPr>
          <w:p w14:paraId="4061AC97" w14:textId="77777777" w:rsidR="00690701" w:rsidRPr="00D56BB1" w:rsidRDefault="00690701">
            <w:pPr>
              <w:pStyle w:val="TableHeading"/>
              <w:rPr>
                <w:bCs/>
              </w:rPr>
            </w:pPr>
            <w:r w:rsidRPr="00D56BB1">
              <w:rPr>
                <w:bCs/>
              </w:rPr>
              <w:t>Peer Advisor</w:t>
            </w:r>
          </w:p>
        </w:tc>
        <w:tc>
          <w:tcPr>
            <w:tcW w:w="664" w:type="pct"/>
            <w:shd w:val="clear" w:color="auto" w:fill="1C3353" w:themeFill="text2"/>
            <w:vAlign w:val="center"/>
          </w:tcPr>
          <w:p w14:paraId="7E26F471" w14:textId="77777777" w:rsidR="00690701" w:rsidRPr="00B20BF9" w:rsidRDefault="00690701">
            <w:pPr>
              <w:pStyle w:val="TableHeading"/>
            </w:pPr>
            <w:r w:rsidRPr="00D56BB1">
              <w:rPr>
                <w:rFonts w:hint="eastAsia"/>
                <w:bCs/>
                <w:lang w:eastAsia="ko-KR"/>
              </w:rPr>
              <w:t>IE</w:t>
            </w:r>
            <w:r w:rsidRPr="00B20BF9">
              <w:rPr>
                <w:rStyle w:val="FootnoteReference"/>
                <w:lang w:eastAsia="ko-KR"/>
              </w:rPr>
              <w:footnoteReference w:id="4"/>
            </w:r>
          </w:p>
        </w:tc>
        <w:tc>
          <w:tcPr>
            <w:tcW w:w="1410" w:type="pct"/>
            <w:shd w:val="clear" w:color="auto" w:fill="1C3353" w:themeFill="text2"/>
            <w:vAlign w:val="center"/>
          </w:tcPr>
          <w:p w14:paraId="377CA037" w14:textId="77777777" w:rsidR="00690701" w:rsidRPr="00D56BB1" w:rsidRDefault="00690701">
            <w:pPr>
              <w:pStyle w:val="TableHeading"/>
              <w:rPr>
                <w:bCs/>
              </w:rPr>
            </w:pPr>
            <w:r w:rsidRPr="00D56BB1">
              <w:rPr>
                <w:bCs/>
              </w:rPr>
              <w:t>Status</w:t>
            </w:r>
          </w:p>
        </w:tc>
      </w:tr>
      <w:tr w:rsidR="00690701" w:rsidRPr="00532B85" w14:paraId="77028353" w14:textId="77777777" w:rsidTr="002A0E40">
        <w:trPr>
          <w:trHeight w:val="188"/>
        </w:trPr>
        <w:tc>
          <w:tcPr>
            <w:tcW w:w="471" w:type="pct"/>
            <w:vMerge w:val="restart"/>
            <w:shd w:val="clear" w:color="auto" w:fill="D9D9D9" w:themeFill="background1" w:themeFillShade="D9"/>
          </w:tcPr>
          <w:p w14:paraId="076FB6FF" w14:textId="77777777" w:rsidR="00690701" w:rsidRPr="00D56BB1" w:rsidRDefault="00690701">
            <w:pPr>
              <w:spacing w:before="60" w:after="60" w:line="240" w:lineRule="auto"/>
              <w:jc w:val="left"/>
              <w:rPr>
                <w:b/>
                <w:bCs/>
                <w:sz w:val="20"/>
                <w:szCs w:val="20"/>
                <w:lang w:eastAsia="ko-KR"/>
              </w:rPr>
            </w:pPr>
            <w:r w:rsidRPr="00D56BB1">
              <w:rPr>
                <w:rFonts w:hint="eastAsia"/>
                <w:b/>
                <w:bCs/>
                <w:sz w:val="20"/>
                <w:szCs w:val="20"/>
                <w:lang w:eastAsia="ko-KR"/>
              </w:rPr>
              <w:t>Batch 1</w:t>
            </w:r>
          </w:p>
        </w:tc>
        <w:tc>
          <w:tcPr>
            <w:tcW w:w="247" w:type="pct"/>
            <w:shd w:val="clear" w:color="auto" w:fill="D9D9D9" w:themeFill="background1" w:themeFillShade="D9"/>
            <w:vAlign w:val="center"/>
          </w:tcPr>
          <w:p w14:paraId="63CC16F2" w14:textId="77777777" w:rsidR="00690701" w:rsidRPr="00532B85" w:rsidRDefault="00690701">
            <w:pPr>
              <w:spacing w:before="60" w:after="60" w:line="240" w:lineRule="auto"/>
              <w:jc w:val="left"/>
              <w:rPr>
                <w:sz w:val="20"/>
                <w:szCs w:val="20"/>
              </w:rPr>
            </w:pPr>
            <w:r w:rsidRPr="00532B85">
              <w:rPr>
                <w:sz w:val="20"/>
                <w:szCs w:val="20"/>
              </w:rPr>
              <w:t>1</w:t>
            </w:r>
          </w:p>
        </w:tc>
        <w:tc>
          <w:tcPr>
            <w:tcW w:w="1222" w:type="pct"/>
            <w:vAlign w:val="center"/>
          </w:tcPr>
          <w:p w14:paraId="2799389A" w14:textId="77777777" w:rsidR="00690701" w:rsidRPr="008D4980" w:rsidRDefault="00690701">
            <w:pPr>
              <w:spacing w:before="60" w:after="60" w:line="240" w:lineRule="auto"/>
              <w:jc w:val="left"/>
              <w:rPr>
                <w:b/>
                <w:sz w:val="20"/>
                <w:szCs w:val="20"/>
              </w:rPr>
            </w:pPr>
            <w:r w:rsidRPr="008D4980">
              <w:rPr>
                <w:b/>
                <w:sz w:val="20"/>
                <w:szCs w:val="20"/>
              </w:rPr>
              <w:t>Belize</w:t>
            </w:r>
          </w:p>
        </w:tc>
        <w:tc>
          <w:tcPr>
            <w:tcW w:w="987" w:type="pct"/>
            <w:vAlign w:val="center"/>
          </w:tcPr>
          <w:p w14:paraId="3C1D3AFF" w14:textId="77777777" w:rsidR="00690701" w:rsidRPr="00532B85" w:rsidRDefault="00690701">
            <w:pPr>
              <w:spacing w:before="60" w:after="60" w:line="240" w:lineRule="auto"/>
              <w:jc w:val="left"/>
              <w:rPr>
                <w:sz w:val="20"/>
                <w:szCs w:val="20"/>
              </w:rPr>
            </w:pPr>
            <w:r w:rsidRPr="00532B85">
              <w:rPr>
                <w:sz w:val="20"/>
                <w:szCs w:val="20"/>
              </w:rPr>
              <w:t>United Kingdom</w:t>
            </w:r>
          </w:p>
        </w:tc>
        <w:tc>
          <w:tcPr>
            <w:tcW w:w="664" w:type="pct"/>
            <w:vAlign w:val="center"/>
          </w:tcPr>
          <w:p w14:paraId="486D1450"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1BB12C70"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27BEE74D" w14:textId="77777777" w:rsidTr="002A0E40">
        <w:trPr>
          <w:trHeight w:val="53"/>
        </w:trPr>
        <w:tc>
          <w:tcPr>
            <w:tcW w:w="471" w:type="pct"/>
            <w:vMerge/>
          </w:tcPr>
          <w:p w14:paraId="367501A9"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41CD89A2" w14:textId="77777777" w:rsidR="00690701" w:rsidRPr="00532B85" w:rsidRDefault="00690701">
            <w:pPr>
              <w:spacing w:before="60" w:after="60" w:line="240" w:lineRule="auto"/>
              <w:jc w:val="left"/>
              <w:rPr>
                <w:sz w:val="20"/>
                <w:szCs w:val="20"/>
              </w:rPr>
            </w:pPr>
            <w:r w:rsidRPr="00532B85">
              <w:rPr>
                <w:sz w:val="20"/>
                <w:szCs w:val="20"/>
              </w:rPr>
              <w:t>2</w:t>
            </w:r>
          </w:p>
        </w:tc>
        <w:tc>
          <w:tcPr>
            <w:tcW w:w="1222" w:type="pct"/>
            <w:vAlign w:val="center"/>
          </w:tcPr>
          <w:p w14:paraId="0525F282" w14:textId="77777777" w:rsidR="00690701" w:rsidRPr="008D4980" w:rsidRDefault="00690701">
            <w:pPr>
              <w:spacing w:before="60" w:after="60" w:line="240" w:lineRule="auto"/>
              <w:jc w:val="left"/>
              <w:rPr>
                <w:b/>
                <w:sz w:val="20"/>
                <w:szCs w:val="20"/>
              </w:rPr>
            </w:pPr>
            <w:r w:rsidRPr="008D4980">
              <w:rPr>
                <w:b/>
                <w:sz w:val="20"/>
                <w:szCs w:val="20"/>
              </w:rPr>
              <w:t>Bhutan</w:t>
            </w:r>
          </w:p>
        </w:tc>
        <w:tc>
          <w:tcPr>
            <w:tcW w:w="987" w:type="pct"/>
            <w:vAlign w:val="center"/>
          </w:tcPr>
          <w:p w14:paraId="1BD512DC"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58414D26" w14:textId="77777777" w:rsidR="00690701" w:rsidRPr="00532B85" w:rsidRDefault="00690701">
            <w:pPr>
              <w:spacing w:before="60" w:after="60" w:line="240" w:lineRule="auto"/>
              <w:jc w:val="left"/>
              <w:rPr>
                <w:sz w:val="20"/>
                <w:szCs w:val="20"/>
                <w:lang w:val="fr-FR"/>
              </w:rPr>
            </w:pPr>
            <w:r w:rsidRPr="00532B85">
              <w:rPr>
                <w:sz w:val="20"/>
                <w:szCs w:val="20"/>
              </w:rPr>
              <w:t>UNEP</w:t>
            </w:r>
          </w:p>
        </w:tc>
        <w:tc>
          <w:tcPr>
            <w:tcW w:w="1410" w:type="pct"/>
            <w:vAlign w:val="center"/>
          </w:tcPr>
          <w:p w14:paraId="5C3992BB"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72B82A2F" w14:textId="77777777" w:rsidTr="002A0E40">
        <w:trPr>
          <w:trHeight w:val="53"/>
        </w:trPr>
        <w:tc>
          <w:tcPr>
            <w:tcW w:w="471" w:type="pct"/>
            <w:vMerge/>
          </w:tcPr>
          <w:p w14:paraId="61BC46DE"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0EF7A0F2" w14:textId="77777777" w:rsidR="00690701" w:rsidRPr="00532B85" w:rsidRDefault="00690701">
            <w:pPr>
              <w:spacing w:before="60" w:after="60" w:line="240" w:lineRule="auto"/>
              <w:jc w:val="left"/>
              <w:rPr>
                <w:sz w:val="20"/>
                <w:szCs w:val="20"/>
              </w:rPr>
            </w:pPr>
            <w:r w:rsidRPr="00532B85">
              <w:rPr>
                <w:sz w:val="20"/>
                <w:szCs w:val="20"/>
              </w:rPr>
              <w:t>3</w:t>
            </w:r>
          </w:p>
        </w:tc>
        <w:tc>
          <w:tcPr>
            <w:tcW w:w="1222" w:type="pct"/>
            <w:vAlign w:val="center"/>
          </w:tcPr>
          <w:p w14:paraId="4CE625C7" w14:textId="77777777" w:rsidR="00690701" w:rsidRPr="008D4980" w:rsidRDefault="00690701">
            <w:pPr>
              <w:spacing w:before="60" w:after="60" w:line="240" w:lineRule="auto"/>
              <w:jc w:val="left"/>
              <w:rPr>
                <w:b/>
                <w:sz w:val="20"/>
                <w:szCs w:val="20"/>
              </w:rPr>
            </w:pPr>
            <w:r w:rsidRPr="008D4980">
              <w:rPr>
                <w:b/>
                <w:sz w:val="20"/>
                <w:szCs w:val="20"/>
              </w:rPr>
              <w:t>Burkina Faso</w:t>
            </w:r>
          </w:p>
        </w:tc>
        <w:tc>
          <w:tcPr>
            <w:tcW w:w="987" w:type="pct"/>
            <w:vAlign w:val="center"/>
          </w:tcPr>
          <w:p w14:paraId="3444102C" w14:textId="77777777" w:rsidR="00690701" w:rsidRPr="00532B85" w:rsidRDefault="00690701">
            <w:pPr>
              <w:spacing w:before="60" w:after="60" w:line="240" w:lineRule="auto"/>
              <w:jc w:val="left"/>
              <w:rPr>
                <w:sz w:val="20"/>
                <w:szCs w:val="20"/>
              </w:rPr>
            </w:pPr>
            <w:r w:rsidRPr="00532B85">
              <w:rPr>
                <w:sz w:val="20"/>
                <w:szCs w:val="20"/>
              </w:rPr>
              <w:t>Spain - Nigeria</w:t>
            </w:r>
          </w:p>
        </w:tc>
        <w:tc>
          <w:tcPr>
            <w:tcW w:w="664" w:type="pct"/>
            <w:vAlign w:val="center"/>
          </w:tcPr>
          <w:p w14:paraId="322D2966" w14:textId="77777777" w:rsidR="00690701" w:rsidRPr="005649E5" w:rsidRDefault="00690701">
            <w:pPr>
              <w:spacing w:before="60" w:after="60" w:line="240" w:lineRule="auto"/>
              <w:jc w:val="left"/>
              <w:rPr>
                <w:sz w:val="20"/>
                <w:szCs w:val="20"/>
              </w:rPr>
            </w:pPr>
            <w:r w:rsidRPr="004238CC">
              <w:rPr>
                <w:color w:val="FF0000"/>
                <w:sz w:val="20"/>
                <w:szCs w:val="20"/>
              </w:rPr>
              <w:t>AfDB</w:t>
            </w:r>
          </w:p>
        </w:tc>
        <w:tc>
          <w:tcPr>
            <w:tcW w:w="1410" w:type="pct"/>
            <w:vAlign w:val="center"/>
          </w:tcPr>
          <w:p w14:paraId="0999F77D"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2183E389" w14:textId="77777777" w:rsidTr="002A0E40">
        <w:trPr>
          <w:trHeight w:val="53"/>
        </w:trPr>
        <w:tc>
          <w:tcPr>
            <w:tcW w:w="471" w:type="pct"/>
            <w:vMerge/>
          </w:tcPr>
          <w:p w14:paraId="1E373A9F"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47D0AED1" w14:textId="77777777" w:rsidR="00690701" w:rsidRPr="00532B85" w:rsidRDefault="00690701">
            <w:pPr>
              <w:spacing w:before="60" w:after="60" w:line="240" w:lineRule="auto"/>
              <w:jc w:val="left"/>
              <w:rPr>
                <w:sz w:val="20"/>
                <w:szCs w:val="20"/>
              </w:rPr>
            </w:pPr>
            <w:r w:rsidRPr="00532B85">
              <w:rPr>
                <w:sz w:val="20"/>
                <w:szCs w:val="20"/>
              </w:rPr>
              <w:t>4</w:t>
            </w:r>
          </w:p>
        </w:tc>
        <w:tc>
          <w:tcPr>
            <w:tcW w:w="1222" w:type="pct"/>
            <w:vAlign w:val="center"/>
          </w:tcPr>
          <w:p w14:paraId="2BCF6596" w14:textId="77777777" w:rsidR="00690701" w:rsidRPr="008D4980" w:rsidRDefault="00690701">
            <w:pPr>
              <w:spacing w:before="60" w:after="60" w:line="240" w:lineRule="auto"/>
              <w:jc w:val="left"/>
              <w:rPr>
                <w:b/>
                <w:sz w:val="20"/>
                <w:szCs w:val="20"/>
              </w:rPr>
            </w:pPr>
            <w:r w:rsidRPr="008D4980">
              <w:rPr>
                <w:b/>
                <w:sz w:val="20"/>
                <w:szCs w:val="20"/>
              </w:rPr>
              <w:t>Cabo Verde</w:t>
            </w:r>
          </w:p>
        </w:tc>
        <w:tc>
          <w:tcPr>
            <w:tcW w:w="987" w:type="pct"/>
            <w:vAlign w:val="center"/>
          </w:tcPr>
          <w:p w14:paraId="4E790747" w14:textId="77777777" w:rsidR="00690701" w:rsidRPr="00532B85" w:rsidRDefault="00690701">
            <w:pPr>
              <w:spacing w:before="60" w:after="60" w:line="240" w:lineRule="auto"/>
              <w:jc w:val="left"/>
              <w:rPr>
                <w:sz w:val="20"/>
                <w:szCs w:val="20"/>
              </w:rPr>
            </w:pPr>
            <w:r w:rsidRPr="00532B85">
              <w:rPr>
                <w:sz w:val="20"/>
                <w:szCs w:val="20"/>
              </w:rPr>
              <w:t>Netherlands</w:t>
            </w:r>
          </w:p>
        </w:tc>
        <w:tc>
          <w:tcPr>
            <w:tcW w:w="664" w:type="pct"/>
            <w:vAlign w:val="center"/>
          </w:tcPr>
          <w:p w14:paraId="14191C31"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225B3EC6"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58518410" w14:textId="77777777" w:rsidTr="002A0E40">
        <w:trPr>
          <w:trHeight w:val="53"/>
        </w:trPr>
        <w:tc>
          <w:tcPr>
            <w:tcW w:w="471" w:type="pct"/>
            <w:vMerge/>
          </w:tcPr>
          <w:p w14:paraId="5BBCBBAF"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2791C43" w14:textId="77777777" w:rsidR="00690701" w:rsidRPr="00532B85" w:rsidRDefault="00690701">
            <w:pPr>
              <w:spacing w:before="60" w:after="60" w:line="240" w:lineRule="auto"/>
              <w:jc w:val="left"/>
              <w:rPr>
                <w:sz w:val="20"/>
                <w:szCs w:val="20"/>
              </w:rPr>
            </w:pPr>
            <w:r w:rsidRPr="00532B85">
              <w:rPr>
                <w:sz w:val="20"/>
                <w:szCs w:val="20"/>
              </w:rPr>
              <w:t>5</w:t>
            </w:r>
          </w:p>
        </w:tc>
        <w:tc>
          <w:tcPr>
            <w:tcW w:w="1222" w:type="pct"/>
            <w:vAlign w:val="center"/>
          </w:tcPr>
          <w:p w14:paraId="2B3E2190" w14:textId="77777777" w:rsidR="00690701" w:rsidRPr="008D4980" w:rsidRDefault="00690701">
            <w:pPr>
              <w:spacing w:before="60" w:after="60" w:line="240" w:lineRule="auto"/>
              <w:jc w:val="left"/>
              <w:rPr>
                <w:b/>
                <w:sz w:val="20"/>
                <w:szCs w:val="20"/>
              </w:rPr>
            </w:pPr>
            <w:r w:rsidRPr="008D4980">
              <w:rPr>
                <w:b/>
                <w:sz w:val="20"/>
                <w:szCs w:val="20"/>
              </w:rPr>
              <w:t>Chad</w:t>
            </w:r>
          </w:p>
        </w:tc>
        <w:tc>
          <w:tcPr>
            <w:tcW w:w="987" w:type="pct"/>
            <w:vAlign w:val="center"/>
          </w:tcPr>
          <w:p w14:paraId="099A6875" w14:textId="77777777" w:rsidR="00690701" w:rsidRPr="00532B85" w:rsidRDefault="00690701">
            <w:pPr>
              <w:spacing w:before="60" w:after="60" w:line="240" w:lineRule="auto"/>
              <w:jc w:val="left"/>
              <w:rPr>
                <w:sz w:val="20"/>
                <w:szCs w:val="20"/>
              </w:rPr>
            </w:pPr>
            <w:r w:rsidRPr="00532B85">
              <w:rPr>
                <w:sz w:val="20"/>
                <w:szCs w:val="20"/>
              </w:rPr>
              <w:t>Austria</w:t>
            </w:r>
          </w:p>
        </w:tc>
        <w:tc>
          <w:tcPr>
            <w:tcW w:w="664" w:type="pct"/>
            <w:vAlign w:val="center"/>
          </w:tcPr>
          <w:p w14:paraId="03A60D80" w14:textId="77777777" w:rsidR="00690701" w:rsidRPr="00532B85" w:rsidRDefault="00690701">
            <w:pPr>
              <w:spacing w:before="60" w:after="60" w:line="240" w:lineRule="auto"/>
              <w:jc w:val="left"/>
              <w:rPr>
                <w:sz w:val="20"/>
                <w:szCs w:val="20"/>
              </w:rPr>
            </w:pPr>
            <w:r w:rsidRPr="00532B85">
              <w:rPr>
                <w:sz w:val="20"/>
                <w:szCs w:val="20"/>
              </w:rPr>
              <w:t>WFP</w:t>
            </w:r>
          </w:p>
        </w:tc>
        <w:tc>
          <w:tcPr>
            <w:tcW w:w="1410" w:type="pct"/>
            <w:vAlign w:val="center"/>
          </w:tcPr>
          <w:p w14:paraId="1460956F"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611136E8" w14:textId="77777777" w:rsidTr="002A0E40">
        <w:trPr>
          <w:trHeight w:val="53"/>
        </w:trPr>
        <w:tc>
          <w:tcPr>
            <w:tcW w:w="471" w:type="pct"/>
            <w:vMerge/>
          </w:tcPr>
          <w:p w14:paraId="4A443141"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3522637B" w14:textId="77777777" w:rsidR="00690701" w:rsidRPr="00532B85" w:rsidRDefault="00690701">
            <w:pPr>
              <w:spacing w:before="60" w:after="60" w:line="240" w:lineRule="auto"/>
              <w:jc w:val="left"/>
              <w:rPr>
                <w:sz w:val="20"/>
                <w:szCs w:val="20"/>
              </w:rPr>
            </w:pPr>
            <w:r w:rsidRPr="00532B85">
              <w:rPr>
                <w:sz w:val="20"/>
                <w:szCs w:val="20"/>
              </w:rPr>
              <w:t>6</w:t>
            </w:r>
          </w:p>
        </w:tc>
        <w:tc>
          <w:tcPr>
            <w:tcW w:w="1222" w:type="pct"/>
            <w:vAlign w:val="center"/>
          </w:tcPr>
          <w:p w14:paraId="034F297F" w14:textId="77777777" w:rsidR="00690701" w:rsidRPr="008D4980" w:rsidRDefault="00690701">
            <w:pPr>
              <w:spacing w:before="60" w:after="60" w:line="240" w:lineRule="auto"/>
              <w:jc w:val="left"/>
              <w:rPr>
                <w:b/>
                <w:sz w:val="20"/>
                <w:szCs w:val="20"/>
              </w:rPr>
            </w:pPr>
            <w:r w:rsidRPr="008D4980">
              <w:rPr>
                <w:b/>
                <w:sz w:val="20"/>
                <w:szCs w:val="20"/>
              </w:rPr>
              <w:t>Democratic Republic of the Congo</w:t>
            </w:r>
          </w:p>
        </w:tc>
        <w:tc>
          <w:tcPr>
            <w:tcW w:w="987" w:type="pct"/>
            <w:vAlign w:val="center"/>
          </w:tcPr>
          <w:p w14:paraId="0EF7AF60" w14:textId="77777777" w:rsidR="00690701" w:rsidRPr="00532B85" w:rsidRDefault="00690701">
            <w:pPr>
              <w:spacing w:before="60" w:after="60" w:line="240" w:lineRule="auto"/>
              <w:jc w:val="left"/>
              <w:rPr>
                <w:sz w:val="20"/>
                <w:szCs w:val="20"/>
              </w:rPr>
            </w:pPr>
            <w:r w:rsidRPr="00532B85">
              <w:rPr>
                <w:sz w:val="20"/>
                <w:szCs w:val="20"/>
              </w:rPr>
              <w:t>Switzerland</w:t>
            </w:r>
          </w:p>
        </w:tc>
        <w:tc>
          <w:tcPr>
            <w:tcW w:w="664" w:type="pct"/>
            <w:vAlign w:val="center"/>
          </w:tcPr>
          <w:p w14:paraId="4F0FBF3B" w14:textId="77777777" w:rsidR="00690701" w:rsidRPr="00532B85" w:rsidRDefault="00690701">
            <w:pPr>
              <w:spacing w:before="60" w:after="60" w:line="240" w:lineRule="auto"/>
              <w:jc w:val="left"/>
              <w:rPr>
                <w:sz w:val="20"/>
                <w:szCs w:val="20"/>
              </w:rPr>
            </w:pPr>
            <w:r w:rsidRPr="1F292A06">
              <w:rPr>
                <w:sz w:val="20"/>
                <w:szCs w:val="20"/>
              </w:rPr>
              <w:t>WFP</w:t>
            </w:r>
          </w:p>
        </w:tc>
        <w:tc>
          <w:tcPr>
            <w:tcW w:w="1410" w:type="pct"/>
            <w:vAlign w:val="center"/>
          </w:tcPr>
          <w:p w14:paraId="2A28249C" w14:textId="260DAE6D" w:rsidR="00690701" w:rsidRPr="00040F91" w:rsidRDefault="00690701">
            <w:pPr>
              <w:spacing w:before="60" w:after="60" w:line="240" w:lineRule="auto"/>
              <w:jc w:val="left"/>
              <w:rPr>
                <w:sz w:val="20"/>
                <w:szCs w:val="20"/>
              </w:rPr>
            </w:pPr>
            <w:r w:rsidRPr="00040F91">
              <w:rPr>
                <w:sz w:val="20"/>
                <w:szCs w:val="20"/>
              </w:rPr>
              <w:t>Investment</w:t>
            </w:r>
            <w:r w:rsidR="00F216B2" w:rsidRPr="00040F91">
              <w:rPr>
                <w:sz w:val="20"/>
                <w:szCs w:val="20"/>
              </w:rPr>
              <w:t xml:space="preserve"> phase pipeline</w:t>
            </w:r>
          </w:p>
        </w:tc>
      </w:tr>
      <w:tr w:rsidR="00690701" w:rsidRPr="00532B85" w14:paraId="150DF31E" w14:textId="77777777" w:rsidTr="002A0E40">
        <w:trPr>
          <w:trHeight w:val="197"/>
        </w:trPr>
        <w:tc>
          <w:tcPr>
            <w:tcW w:w="471" w:type="pct"/>
            <w:vMerge/>
          </w:tcPr>
          <w:p w14:paraId="6C7451FF"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457A9D2C" w14:textId="77777777" w:rsidR="00690701" w:rsidRPr="00532B85" w:rsidRDefault="00690701">
            <w:pPr>
              <w:spacing w:before="60" w:after="60" w:line="240" w:lineRule="auto"/>
              <w:jc w:val="left"/>
              <w:rPr>
                <w:sz w:val="20"/>
                <w:szCs w:val="20"/>
              </w:rPr>
            </w:pPr>
            <w:r w:rsidRPr="00532B85">
              <w:rPr>
                <w:sz w:val="20"/>
                <w:szCs w:val="20"/>
              </w:rPr>
              <w:t>7</w:t>
            </w:r>
          </w:p>
        </w:tc>
        <w:tc>
          <w:tcPr>
            <w:tcW w:w="1222" w:type="pct"/>
            <w:vAlign w:val="center"/>
          </w:tcPr>
          <w:p w14:paraId="0BEC6C71" w14:textId="77777777" w:rsidR="00690701" w:rsidRPr="008D4980" w:rsidRDefault="00690701">
            <w:pPr>
              <w:spacing w:before="60" w:after="60" w:line="240" w:lineRule="auto"/>
              <w:jc w:val="left"/>
              <w:rPr>
                <w:b/>
                <w:sz w:val="20"/>
                <w:szCs w:val="20"/>
              </w:rPr>
            </w:pPr>
            <w:r w:rsidRPr="008D4980">
              <w:rPr>
                <w:b/>
                <w:sz w:val="20"/>
                <w:szCs w:val="20"/>
              </w:rPr>
              <w:t>Ecuador</w:t>
            </w:r>
          </w:p>
        </w:tc>
        <w:tc>
          <w:tcPr>
            <w:tcW w:w="987" w:type="pct"/>
            <w:vAlign w:val="center"/>
          </w:tcPr>
          <w:p w14:paraId="0808DB29" w14:textId="77777777" w:rsidR="00690701" w:rsidRPr="00532B85" w:rsidRDefault="00690701">
            <w:pPr>
              <w:spacing w:before="60" w:after="60" w:line="240" w:lineRule="auto"/>
              <w:jc w:val="left"/>
              <w:rPr>
                <w:sz w:val="20"/>
                <w:szCs w:val="20"/>
              </w:rPr>
            </w:pPr>
            <w:r w:rsidRPr="00532B85">
              <w:rPr>
                <w:sz w:val="20"/>
                <w:szCs w:val="20"/>
              </w:rPr>
              <w:t>Switzerland – Argentina</w:t>
            </w:r>
          </w:p>
        </w:tc>
        <w:tc>
          <w:tcPr>
            <w:tcW w:w="664" w:type="pct"/>
            <w:vAlign w:val="center"/>
          </w:tcPr>
          <w:p w14:paraId="56CC5889"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786D52C9"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4BB9B008" w14:textId="77777777" w:rsidTr="002A0E40">
        <w:trPr>
          <w:trHeight w:val="53"/>
        </w:trPr>
        <w:tc>
          <w:tcPr>
            <w:tcW w:w="471" w:type="pct"/>
            <w:vMerge/>
          </w:tcPr>
          <w:p w14:paraId="53347062"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1DC83911" w14:textId="77777777" w:rsidR="00690701" w:rsidRPr="00532B85" w:rsidRDefault="00690701">
            <w:pPr>
              <w:spacing w:before="60" w:after="60" w:line="240" w:lineRule="auto"/>
              <w:jc w:val="left"/>
              <w:rPr>
                <w:sz w:val="20"/>
                <w:szCs w:val="20"/>
              </w:rPr>
            </w:pPr>
            <w:r w:rsidRPr="00532B85">
              <w:rPr>
                <w:sz w:val="20"/>
                <w:szCs w:val="20"/>
              </w:rPr>
              <w:t>8</w:t>
            </w:r>
          </w:p>
        </w:tc>
        <w:tc>
          <w:tcPr>
            <w:tcW w:w="1222" w:type="pct"/>
            <w:vAlign w:val="center"/>
          </w:tcPr>
          <w:p w14:paraId="2542165F" w14:textId="77777777" w:rsidR="00690701" w:rsidRPr="008D4980" w:rsidRDefault="00690701">
            <w:pPr>
              <w:spacing w:before="60" w:after="60" w:line="240" w:lineRule="auto"/>
              <w:jc w:val="left"/>
              <w:rPr>
                <w:b/>
                <w:sz w:val="20"/>
                <w:szCs w:val="20"/>
              </w:rPr>
            </w:pPr>
            <w:r w:rsidRPr="008D4980">
              <w:rPr>
                <w:b/>
                <w:sz w:val="20"/>
                <w:szCs w:val="20"/>
              </w:rPr>
              <w:t>Ethiopia</w:t>
            </w:r>
          </w:p>
        </w:tc>
        <w:tc>
          <w:tcPr>
            <w:tcW w:w="987" w:type="pct"/>
            <w:vAlign w:val="center"/>
          </w:tcPr>
          <w:p w14:paraId="73610224" w14:textId="77777777" w:rsidR="00690701" w:rsidRPr="00532B85" w:rsidRDefault="00690701">
            <w:pPr>
              <w:spacing w:before="60" w:after="60" w:line="240" w:lineRule="auto"/>
              <w:jc w:val="left"/>
              <w:rPr>
                <w:sz w:val="20"/>
                <w:szCs w:val="20"/>
              </w:rPr>
            </w:pPr>
            <w:r w:rsidRPr="00532B85">
              <w:rPr>
                <w:sz w:val="20"/>
                <w:szCs w:val="20"/>
              </w:rPr>
              <w:t>Norway -Finland</w:t>
            </w:r>
          </w:p>
        </w:tc>
        <w:tc>
          <w:tcPr>
            <w:tcW w:w="664" w:type="pct"/>
            <w:vAlign w:val="center"/>
          </w:tcPr>
          <w:p w14:paraId="6B9C11CA"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5D63762E"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6EEAE7B8" w14:textId="77777777" w:rsidTr="002A0E40">
        <w:trPr>
          <w:trHeight w:val="53"/>
        </w:trPr>
        <w:tc>
          <w:tcPr>
            <w:tcW w:w="471" w:type="pct"/>
            <w:vMerge/>
          </w:tcPr>
          <w:p w14:paraId="2DA2FD45"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60DB1C27" w14:textId="77777777" w:rsidR="00690701" w:rsidRPr="00532B85" w:rsidRDefault="00690701">
            <w:pPr>
              <w:spacing w:before="60" w:after="60" w:line="240" w:lineRule="auto"/>
              <w:jc w:val="left"/>
              <w:rPr>
                <w:sz w:val="20"/>
                <w:szCs w:val="20"/>
              </w:rPr>
            </w:pPr>
            <w:r w:rsidRPr="00532B85">
              <w:rPr>
                <w:sz w:val="20"/>
                <w:szCs w:val="20"/>
              </w:rPr>
              <w:t>9</w:t>
            </w:r>
          </w:p>
        </w:tc>
        <w:tc>
          <w:tcPr>
            <w:tcW w:w="1222" w:type="pct"/>
            <w:vAlign w:val="center"/>
          </w:tcPr>
          <w:p w14:paraId="50D3E713" w14:textId="77777777" w:rsidR="00690701" w:rsidRPr="008D4980" w:rsidRDefault="00690701">
            <w:pPr>
              <w:spacing w:before="60" w:after="60" w:line="240" w:lineRule="auto"/>
              <w:jc w:val="left"/>
              <w:rPr>
                <w:b/>
                <w:sz w:val="20"/>
                <w:szCs w:val="20"/>
              </w:rPr>
            </w:pPr>
            <w:r w:rsidRPr="008D4980">
              <w:rPr>
                <w:b/>
                <w:sz w:val="20"/>
                <w:szCs w:val="20"/>
              </w:rPr>
              <w:t>Fiji</w:t>
            </w:r>
          </w:p>
        </w:tc>
        <w:tc>
          <w:tcPr>
            <w:tcW w:w="987" w:type="pct"/>
            <w:vAlign w:val="center"/>
          </w:tcPr>
          <w:p w14:paraId="6C5494BF" w14:textId="77777777" w:rsidR="00690701" w:rsidRPr="00532B85" w:rsidRDefault="00690701">
            <w:pPr>
              <w:spacing w:before="60" w:after="60" w:line="240" w:lineRule="auto"/>
              <w:jc w:val="left"/>
              <w:rPr>
                <w:sz w:val="20"/>
                <w:szCs w:val="20"/>
              </w:rPr>
            </w:pPr>
            <w:r w:rsidRPr="00532B85">
              <w:rPr>
                <w:sz w:val="20"/>
                <w:szCs w:val="20"/>
              </w:rPr>
              <w:t>Australia</w:t>
            </w:r>
          </w:p>
        </w:tc>
        <w:tc>
          <w:tcPr>
            <w:tcW w:w="664" w:type="pct"/>
            <w:vAlign w:val="center"/>
          </w:tcPr>
          <w:p w14:paraId="03DB6338" w14:textId="77777777" w:rsidR="00690701" w:rsidRPr="00532B85" w:rsidRDefault="00690701">
            <w:pPr>
              <w:spacing w:before="60" w:after="60" w:line="240" w:lineRule="auto"/>
              <w:jc w:val="left"/>
              <w:rPr>
                <w:sz w:val="20"/>
                <w:szCs w:val="20"/>
              </w:rPr>
            </w:pPr>
            <w:r w:rsidRPr="00532B85">
              <w:rPr>
                <w:sz w:val="20"/>
                <w:szCs w:val="20"/>
              </w:rPr>
              <w:t>World Bank</w:t>
            </w:r>
          </w:p>
        </w:tc>
        <w:tc>
          <w:tcPr>
            <w:tcW w:w="1410" w:type="pct"/>
            <w:vAlign w:val="center"/>
          </w:tcPr>
          <w:p w14:paraId="127A0A54"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30F76D46" w14:textId="77777777" w:rsidTr="002A0E40">
        <w:trPr>
          <w:trHeight w:val="287"/>
        </w:trPr>
        <w:tc>
          <w:tcPr>
            <w:tcW w:w="471" w:type="pct"/>
            <w:vMerge/>
          </w:tcPr>
          <w:p w14:paraId="44C86851"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5756C99C" w14:textId="77777777" w:rsidR="00690701" w:rsidRPr="00532B85" w:rsidRDefault="00690701">
            <w:pPr>
              <w:spacing w:before="60" w:after="60" w:line="240" w:lineRule="auto"/>
              <w:jc w:val="left"/>
              <w:rPr>
                <w:sz w:val="20"/>
                <w:szCs w:val="20"/>
              </w:rPr>
            </w:pPr>
            <w:r w:rsidRPr="00532B85">
              <w:rPr>
                <w:sz w:val="20"/>
                <w:szCs w:val="20"/>
              </w:rPr>
              <w:t>10</w:t>
            </w:r>
          </w:p>
        </w:tc>
        <w:tc>
          <w:tcPr>
            <w:tcW w:w="1222" w:type="pct"/>
            <w:vAlign w:val="center"/>
          </w:tcPr>
          <w:p w14:paraId="37814BE0" w14:textId="77777777" w:rsidR="00690701" w:rsidRPr="008D4980" w:rsidRDefault="00690701">
            <w:pPr>
              <w:spacing w:before="60" w:after="60" w:line="240" w:lineRule="auto"/>
              <w:jc w:val="left"/>
              <w:rPr>
                <w:b/>
                <w:sz w:val="20"/>
                <w:szCs w:val="20"/>
              </w:rPr>
            </w:pPr>
            <w:r w:rsidRPr="008D4980">
              <w:rPr>
                <w:b/>
                <w:sz w:val="20"/>
                <w:szCs w:val="20"/>
              </w:rPr>
              <w:t>Grenada</w:t>
            </w:r>
          </w:p>
        </w:tc>
        <w:tc>
          <w:tcPr>
            <w:tcW w:w="987" w:type="pct"/>
            <w:vAlign w:val="center"/>
          </w:tcPr>
          <w:p w14:paraId="7648A0EC" w14:textId="77777777" w:rsidR="00690701" w:rsidRPr="00532B85" w:rsidRDefault="00690701">
            <w:pPr>
              <w:spacing w:before="60" w:after="60" w:line="240" w:lineRule="auto"/>
              <w:jc w:val="left"/>
              <w:rPr>
                <w:sz w:val="20"/>
                <w:szCs w:val="20"/>
              </w:rPr>
            </w:pPr>
            <w:r w:rsidRPr="00532B85">
              <w:rPr>
                <w:sz w:val="20"/>
                <w:szCs w:val="20"/>
              </w:rPr>
              <w:t>Spain</w:t>
            </w:r>
          </w:p>
        </w:tc>
        <w:tc>
          <w:tcPr>
            <w:tcW w:w="664" w:type="pct"/>
            <w:vAlign w:val="center"/>
          </w:tcPr>
          <w:p w14:paraId="5B5261B0" w14:textId="77777777" w:rsidR="00690701" w:rsidRPr="000D1C07" w:rsidRDefault="00690701">
            <w:pPr>
              <w:spacing w:before="60" w:after="60" w:line="240" w:lineRule="auto"/>
              <w:rPr>
                <w:sz w:val="20"/>
                <w:szCs w:val="20"/>
              </w:rPr>
            </w:pPr>
            <w:r>
              <w:rPr>
                <w:sz w:val="20"/>
                <w:szCs w:val="20"/>
              </w:rPr>
              <w:t>-</w:t>
            </w:r>
          </w:p>
        </w:tc>
        <w:tc>
          <w:tcPr>
            <w:tcW w:w="1410" w:type="pct"/>
            <w:vAlign w:val="center"/>
          </w:tcPr>
          <w:p w14:paraId="027A82C5"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306EA566" w14:textId="77777777" w:rsidTr="002A0E40">
        <w:trPr>
          <w:trHeight w:val="53"/>
        </w:trPr>
        <w:tc>
          <w:tcPr>
            <w:tcW w:w="471" w:type="pct"/>
            <w:vMerge/>
          </w:tcPr>
          <w:p w14:paraId="1F27E8A1"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59143CEE" w14:textId="77777777" w:rsidR="00690701" w:rsidRPr="00532B85" w:rsidRDefault="00690701">
            <w:pPr>
              <w:spacing w:before="60" w:after="60" w:line="240" w:lineRule="auto"/>
              <w:jc w:val="left"/>
              <w:rPr>
                <w:sz w:val="20"/>
                <w:szCs w:val="20"/>
              </w:rPr>
            </w:pPr>
            <w:r w:rsidRPr="00532B85">
              <w:rPr>
                <w:sz w:val="20"/>
                <w:szCs w:val="20"/>
              </w:rPr>
              <w:t>11</w:t>
            </w:r>
          </w:p>
        </w:tc>
        <w:tc>
          <w:tcPr>
            <w:tcW w:w="1222" w:type="pct"/>
            <w:vAlign w:val="center"/>
          </w:tcPr>
          <w:p w14:paraId="78726B7F" w14:textId="77777777" w:rsidR="00690701" w:rsidRPr="008D4980" w:rsidRDefault="00690701">
            <w:pPr>
              <w:spacing w:before="60" w:after="60" w:line="240" w:lineRule="auto"/>
              <w:jc w:val="left"/>
              <w:rPr>
                <w:b/>
                <w:sz w:val="20"/>
                <w:szCs w:val="20"/>
              </w:rPr>
            </w:pPr>
            <w:r w:rsidRPr="008D4980">
              <w:rPr>
                <w:b/>
                <w:sz w:val="20"/>
                <w:szCs w:val="20"/>
              </w:rPr>
              <w:t>Guyana</w:t>
            </w:r>
          </w:p>
        </w:tc>
        <w:tc>
          <w:tcPr>
            <w:tcW w:w="987" w:type="pct"/>
            <w:vAlign w:val="center"/>
          </w:tcPr>
          <w:p w14:paraId="5892DCB3" w14:textId="77777777" w:rsidR="00690701" w:rsidRPr="00532B85" w:rsidRDefault="00690701">
            <w:pPr>
              <w:spacing w:before="60" w:after="60" w:line="240" w:lineRule="auto"/>
              <w:jc w:val="left"/>
              <w:rPr>
                <w:sz w:val="20"/>
                <w:szCs w:val="20"/>
              </w:rPr>
            </w:pPr>
            <w:r w:rsidRPr="00532B85">
              <w:rPr>
                <w:sz w:val="20"/>
                <w:szCs w:val="20"/>
              </w:rPr>
              <w:t>Austria</w:t>
            </w:r>
          </w:p>
        </w:tc>
        <w:tc>
          <w:tcPr>
            <w:tcW w:w="664" w:type="pct"/>
            <w:vAlign w:val="center"/>
          </w:tcPr>
          <w:p w14:paraId="152998B8"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77D48E93" w14:textId="108D7AC4" w:rsidR="00690701" w:rsidRPr="00040F91" w:rsidRDefault="00690701">
            <w:pPr>
              <w:spacing w:before="60" w:after="60" w:line="240" w:lineRule="auto"/>
              <w:jc w:val="left"/>
              <w:rPr>
                <w:sz w:val="20"/>
                <w:szCs w:val="20"/>
              </w:rPr>
            </w:pPr>
            <w:r w:rsidRPr="00040F91">
              <w:rPr>
                <w:sz w:val="20"/>
                <w:szCs w:val="20"/>
              </w:rPr>
              <w:t xml:space="preserve">Investment </w:t>
            </w:r>
            <w:r w:rsidR="00D0003B" w:rsidRPr="00040F91">
              <w:rPr>
                <w:sz w:val="20"/>
                <w:szCs w:val="20"/>
              </w:rPr>
              <w:t xml:space="preserve">phase </w:t>
            </w:r>
            <w:r w:rsidR="00D328A0" w:rsidRPr="00040F91">
              <w:rPr>
                <w:sz w:val="20"/>
                <w:szCs w:val="20"/>
              </w:rPr>
              <w:t>pipeline</w:t>
            </w:r>
          </w:p>
        </w:tc>
      </w:tr>
      <w:tr w:rsidR="00690701" w:rsidRPr="00532B85" w14:paraId="12E5407C" w14:textId="77777777" w:rsidTr="002A0E40">
        <w:trPr>
          <w:trHeight w:val="53"/>
        </w:trPr>
        <w:tc>
          <w:tcPr>
            <w:tcW w:w="471" w:type="pct"/>
            <w:vMerge/>
          </w:tcPr>
          <w:p w14:paraId="1FCC079C"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14C9F12" w14:textId="77777777" w:rsidR="00690701" w:rsidRPr="00532B85" w:rsidRDefault="00690701">
            <w:pPr>
              <w:spacing w:before="60" w:after="60" w:line="240" w:lineRule="auto"/>
              <w:jc w:val="left"/>
              <w:rPr>
                <w:sz w:val="20"/>
                <w:szCs w:val="20"/>
              </w:rPr>
            </w:pPr>
            <w:r w:rsidRPr="00532B85">
              <w:rPr>
                <w:sz w:val="20"/>
                <w:szCs w:val="20"/>
              </w:rPr>
              <w:t>12</w:t>
            </w:r>
          </w:p>
        </w:tc>
        <w:tc>
          <w:tcPr>
            <w:tcW w:w="1222" w:type="pct"/>
            <w:vAlign w:val="center"/>
          </w:tcPr>
          <w:p w14:paraId="237F669C" w14:textId="77777777" w:rsidR="00690701" w:rsidRPr="008D4980" w:rsidRDefault="00690701">
            <w:pPr>
              <w:spacing w:before="60" w:after="60" w:line="240" w:lineRule="auto"/>
              <w:jc w:val="left"/>
              <w:rPr>
                <w:b/>
                <w:sz w:val="20"/>
                <w:szCs w:val="20"/>
              </w:rPr>
            </w:pPr>
            <w:r w:rsidRPr="008D4980">
              <w:rPr>
                <w:b/>
                <w:sz w:val="20"/>
                <w:szCs w:val="20"/>
              </w:rPr>
              <w:t>Kiribati</w:t>
            </w:r>
          </w:p>
        </w:tc>
        <w:tc>
          <w:tcPr>
            <w:tcW w:w="987" w:type="pct"/>
            <w:vAlign w:val="center"/>
          </w:tcPr>
          <w:p w14:paraId="699025E4" w14:textId="77777777" w:rsidR="00690701" w:rsidRPr="00532B85" w:rsidRDefault="00690701">
            <w:pPr>
              <w:spacing w:before="60" w:after="60" w:line="240" w:lineRule="auto"/>
              <w:jc w:val="left"/>
              <w:rPr>
                <w:sz w:val="20"/>
                <w:szCs w:val="20"/>
              </w:rPr>
            </w:pPr>
            <w:r w:rsidRPr="00532B85">
              <w:rPr>
                <w:sz w:val="20"/>
                <w:szCs w:val="20"/>
              </w:rPr>
              <w:t>Australia</w:t>
            </w:r>
          </w:p>
        </w:tc>
        <w:tc>
          <w:tcPr>
            <w:tcW w:w="664" w:type="pct"/>
            <w:vAlign w:val="center"/>
          </w:tcPr>
          <w:p w14:paraId="5A0A9702"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6350193E"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150F10EF" w14:textId="77777777" w:rsidTr="002A0E40">
        <w:trPr>
          <w:trHeight w:val="53"/>
        </w:trPr>
        <w:tc>
          <w:tcPr>
            <w:tcW w:w="471" w:type="pct"/>
            <w:vMerge/>
          </w:tcPr>
          <w:p w14:paraId="7FE78A2B"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0AC8B81" w14:textId="77777777" w:rsidR="00690701" w:rsidRPr="00532B85" w:rsidRDefault="00690701">
            <w:pPr>
              <w:spacing w:before="60" w:after="60" w:line="240" w:lineRule="auto"/>
              <w:jc w:val="left"/>
              <w:rPr>
                <w:sz w:val="20"/>
                <w:szCs w:val="20"/>
              </w:rPr>
            </w:pPr>
            <w:r w:rsidRPr="00532B85">
              <w:rPr>
                <w:sz w:val="20"/>
                <w:szCs w:val="20"/>
              </w:rPr>
              <w:t>13</w:t>
            </w:r>
          </w:p>
        </w:tc>
        <w:tc>
          <w:tcPr>
            <w:tcW w:w="1222" w:type="pct"/>
            <w:vAlign w:val="center"/>
          </w:tcPr>
          <w:p w14:paraId="2670C5AE" w14:textId="77777777" w:rsidR="00690701" w:rsidRPr="008D4980" w:rsidRDefault="00690701">
            <w:pPr>
              <w:spacing w:before="60" w:after="60" w:line="240" w:lineRule="auto"/>
              <w:jc w:val="left"/>
              <w:rPr>
                <w:b/>
                <w:sz w:val="20"/>
                <w:szCs w:val="20"/>
              </w:rPr>
            </w:pPr>
            <w:r w:rsidRPr="008D4980">
              <w:rPr>
                <w:b/>
                <w:sz w:val="20"/>
                <w:szCs w:val="20"/>
              </w:rPr>
              <w:t>Liberia</w:t>
            </w:r>
          </w:p>
        </w:tc>
        <w:tc>
          <w:tcPr>
            <w:tcW w:w="987" w:type="pct"/>
            <w:vAlign w:val="center"/>
          </w:tcPr>
          <w:p w14:paraId="4F5C7AC1" w14:textId="77777777" w:rsidR="00690701" w:rsidRPr="00532B85" w:rsidRDefault="00690701">
            <w:pPr>
              <w:spacing w:before="60" w:after="60" w:line="240" w:lineRule="auto"/>
              <w:jc w:val="left"/>
              <w:rPr>
                <w:sz w:val="20"/>
                <w:szCs w:val="20"/>
              </w:rPr>
            </w:pPr>
            <w:r w:rsidRPr="00532B85">
              <w:rPr>
                <w:sz w:val="20"/>
                <w:szCs w:val="20"/>
              </w:rPr>
              <w:t>Nigeria</w:t>
            </w:r>
          </w:p>
        </w:tc>
        <w:tc>
          <w:tcPr>
            <w:tcW w:w="664" w:type="pct"/>
            <w:vAlign w:val="center"/>
          </w:tcPr>
          <w:p w14:paraId="29DE1016" w14:textId="77777777" w:rsidR="00690701" w:rsidRPr="005649E5" w:rsidRDefault="00690701">
            <w:pPr>
              <w:spacing w:before="60" w:after="60" w:line="240" w:lineRule="auto"/>
              <w:jc w:val="left"/>
              <w:rPr>
                <w:sz w:val="20"/>
                <w:szCs w:val="20"/>
              </w:rPr>
            </w:pPr>
            <w:r w:rsidRPr="004238CC">
              <w:rPr>
                <w:color w:val="FF0000"/>
                <w:sz w:val="20"/>
                <w:szCs w:val="20"/>
              </w:rPr>
              <w:t>AfDB</w:t>
            </w:r>
          </w:p>
        </w:tc>
        <w:tc>
          <w:tcPr>
            <w:tcW w:w="1410" w:type="pct"/>
            <w:vAlign w:val="center"/>
          </w:tcPr>
          <w:p w14:paraId="471BEAE4"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285FB7A3" w14:textId="77777777" w:rsidTr="002A0E40">
        <w:trPr>
          <w:trHeight w:val="53"/>
        </w:trPr>
        <w:tc>
          <w:tcPr>
            <w:tcW w:w="471" w:type="pct"/>
            <w:vMerge/>
          </w:tcPr>
          <w:p w14:paraId="7E096E12"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4AD0B328" w14:textId="77777777" w:rsidR="00690701" w:rsidRPr="00532B85" w:rsidRDefault="00690701">
            <w:pPr>
              <w:spacing w:before="60" w:after="60" w:line="240" w:lineRule="auto"/>
              <w:jc w:val="left"/>
              <w:rPr>
                <w:sz w:val="20"/>
                <w:szCs w:val="20"/>
              </w:rPr>
            </w:pPr>
            <w:r w:rsidRPr="00532B85">
              <w:rPr>
                <w:sz w:val="20"/>
                <w:szCs w:val="20"/>
              </w:rPr>
              <w:t>14</w:t>
            </w:r>
          </w:p>
        </w:tc>
        <w:tc>
          <w:tcPr>
            <w:tcW w:w="1222" w:type="pct"/>
            <w:vAlign w:val="center"/>
          </w:tcPr>
          <w:p w14:paraId="4375E0DE" w14:textId="77777777" w:rsidR="00690701" w:rsidRPr="008D4980" w:rsidRDefault="00690701">
            <w:pPr>
              <w:spacing w:before="60" w:after="60" w:line="240" w:lineRule="auto"/>
              <w:jc w:val="left"/>
              <w:rPr>
                <w:b/>
                <w:sz w:val="20"/>
                <w:szCs w:val="20"/>
              </w:rPr>
            </w:pPr>
            <w:r w:rsidRPr="008D4980">
              <w:rPr>
                <w:b/>
                <w:sz w:val="20"/>
                <w:szCs w:val="20"/>
              </w:rPr>
              <w:t>Madagascar</w:t>
            </w:r>
          </w:p>
        </w:tc>
        <w:tc>
          <w:tcPr>
            <w:tcW w:w="987" w:type="pct"/>
            <w:vAlign w:val="center"/>
          </w:tcPr>
          <w:p w14:paraId="1C408E99" w14:textId="77777777" w:rsidR="00690701" w:rsidRPr="00532B85" w:rsidRDefault="00690701">
            <w:pPr>
              <w:spacing w:before="60" w:after="60" w:line="240" w:lineRule="auto"/>
              <w:jc w:val="left"/>
              <w:rPr>
                <w:sz w:val="20"/>
                <w:szCs w:val="20"/>
              </w:rPr>
            </w:pPr>
            <w:r w:rsidRPr="00532B85">
              <w:rPr>
                <w:sz w:val="20"/>
                <w:szCs w:val="20"/>
              </w:rPr>
              <w:t>Germany</w:t>
            </w:r>
          </w:p>
        </w:tc>
        <w:tc>
          <w:tcPr>
            <w:tcW w:w="664" w:type="pct"/>
            <w:vAlign w:val="center"/>
          </w:tcPr>
          <w:p w14:paraId="73AB5746" w14:textId="77777777" w:rsidR="00690701" w:rsidRPr="00EB716F" w:rsidRDefault="00690701">
            <w:pPr>
              <w:spacing w:before="60" w:after="60" w:line="240" w:lineRule="auto"/>
              <w:jc w:val="left"/>
              <w:rPr>
                <w:sz w:val="20"/>
                <w:szCs w:val="20"/>
              </w:rPr>
            </w:pPr>
            <w:r w:rsidRPr="00EB716F">
              <w:rPr>
                <w:sz w:val="20"/>
                <w:szCs w:val="20"/>
              </w:rPr>
              <w:t>UNDP</w:t>
            </w:r>
          </w:p>
        </w:tc>
        <w:tc>
          <w:tcPr>
            <w:tcW w:w="1410" w:type="pct"/>
            <w:vAlign w:val="center"/>
          </w:tcPr>
          <w:p w14:paraId="0F401484"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13206ACC" w14:textId="77777777" w:rsidTr="002A0E40">
        <w:trPr>
          <w:trHeight w:val="53"/>
        </w:trPr>
        <w:tc>
          <w:tcPr>
            <w:tcW w:w="471" w:type="pct"/>
            <w:vMerge/>
          </w:tcPr>
          <w:p w14:paraId="7B14BE14"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65CD0B9C" w14:textId="77777777" w:rsidR="00690701" w:rsidRPr="00532B85" w:rsidRDefault="00690701">
            <w:pPr>
              <w:spacing w:before="60" w:after="60" w:line="240" w:lineRule="auto"/>
              <w:jc w:val="left"/>
              <w:rPr>
                <w:sz w:val="20"/>
                <w:szCs w:val="20"/>
              </w:rPr>
            </w:pPr>
            <w:r w:rsidRPr="00532B85">
              <w:rPr>
                <w:sz w:val="20"/>
                <w:szCs w:val="20"/>
              </w:rPr>
              <w:t>15</w:t>
            </w:r>
          </w:p>
        </w:tc>
        <w:tc>
          <w:tcPr>
            <w:tcW w:w="1222" w:type="pct"/>
            <w:vAlign w:val="center"/>
          </w:tcPr>
          <w:p w14:paraId="064353BD" w14:textId="77777777" w:rsidR="00690701" w:rsidRPr="008D4980" w:rsidRDefault="00690701">
            <w:pPr>
              <w:spacing w:before="60" w:after="60" w:line="240" w:lineRule="auto"/>
              <w:jc w:val="left"/>
              <w:rPr>
                <w:b/>
                <w:sz w:val="20"/>
                <w:szCs w:val="20"/>
              </w:rPr>
            </w:pPr>
            <w:r w:rsidRPr="008D4980">
              <w:rPr>
                <w:b/>
                <w:sz w:val="20"/>
                <w:szCs w:val="20"/>
              </w:rPr>
              <w:t>Malawi</w:t>
            </w:r>
          </w:p>
        </w:tc>
        <w:tc>
          <w:tcPr>
            <w:tcW w:w="987" w:type="pct"/>
            <w:vAlign w:val="center"/>
          </w:tcPr>
          <w:p w14:paraId="5FF03AFF" w14:textId="77777777" w:rsidR="00690701" w:rsidRPr="00532B85" w:rsidRDefault="00690701">
            <w:pPr>
              <w:spacing w:before="60" w:after="60" w:line="240" w:lineRule="auto"/>
              <w:jc w:val="left"/>
              <w:rPr>
                <w:sz w:val="20"/>
                <w:szCs w:val="20"/>
              </w:rPr>
            </w:pPr>
            <w:r w:rsidRPr="00532B85">
              <w:rPr>
                <w:sz w:val="20"/>
                <w:szCs w:val="20"/>
              </w:rPr>
              <w:t>Norway – Iceland</w:t>
            </w:r>
          </w:p>
        </w:tc>
        <w:tc>
          <w:tcPr>
            <w:tcW w:w="664" w:type="pct"/>
            <w:vAlign w:val="center"/>
          </w:tcPr>
          <w:p w14:paraId="1E143177"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07BA5A21" w14:textId="77777777" w:rsidR="00690701" w:rsidRPr="00040F91" w:rsidRDefault="00690701">
            <w:pPr>
              <w:spacing w:before="60" w:after="60" w:line="240" w:lineRule="auto"/>
              <w:jc w:val="left"/>
              <w:rPr>
                <w:sz w:val="20"/>
                <w:szCs w:val="20"/>
              </w:rPr>
            </w:pPr>
            <w:r w:rsidRPr="00040F91">
              <w:rPr>
                <w:sz w:val="20"/>
                <w:szCs w:val="20"/>
              </w:rPr>
              <w:t>Investment funding request conditionally approved</w:t>
            </w:r>
          </w:p>
        </w:tc>
      </w:tr>
      <w:tr w:rsidR="00690701" w:rsidRPr="00532B85" w14:paraId="4BC063C6" w14:textId="77777777" w:rsidTr="002A0E40">
        <w:trPr>
          <w:trHeight w:val="53"/>
        </w:trPr>
        <w:tc>
          <w:tcPr>
            <w:tcW w:w="471" w:type="pct"/>
            <w:vMerge/>
          </w:tcPr>
          <w:p w14:paraId="5DADE089"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28BCC19" w14:textId="77777777" w:rsidR="00690701" w:rsidRPr="00532B85" w:rsidRDefault="00690701">
            <w:pPr>
              <w:spacing w:before="60" w:after="60" w:line="240" w:lineRule="auto"/>
              <w:jc w:val="left"/>
              <w:rPr>
                <w:sz w:val="20"/>
                <w:szCs w:val="20"/>
              </w:rPr>
            </w:pPr>
            <w:r w:rsidRPr="00532B85">
              <w:rPr>
                <w:sz w:val="20"/>
                <w:szCs w:val="20"/>
              </w:rPr>
              <w:t>16</w:t>
            </w:r>
          </w:p>
        </w:tc>
        <w:tc>
          <w:tcPr>
            <w:tcW w:w="1222" w:type="pct"/>
            <w:vAlign w:val="center"/>
          </w:tcPr>
          <w:p w14:paraId="7821BD3C" w14:textId="77777777" w:rsidR="00690701" w:rsidRPr="008D4980" w:rsidRDefault="00690701">
            <w:pPr>
              <w:spacing w:before="60" w:after="60" w:line="240" w:lineRule="auto"/>
              <w:jc w:val="left"/>
              <w:rPr>
                <w:b/>
                <w:sz w:val="20"/>
                <w:szCs w:val="20"/>
              </w:rPr>
            </w:pPr>
            <w:r w:rsidRPr="008D4980">
              <w:rPr>
                <w:b/>
                <w:sz w:val="20"/>
                <w:szCs w:val="20"/>
              </w:rPr>
              <w:t>Maldives</w:t>
            </w:r>
          </w:p>
        </w:tc>
        <w:tc>
          <w:tcPr>
            <w:tcW w:w="987" w:type="pct"/>
            <w:vAlign w:val="center"/>
          </w:tcPr>
          <w:p w14:paraId="4165A533" w14:textId="77777777" w:rsidR="00690701" w:rsidRPr="00532B85" w:rsidRDefault="00690701">
            <w:pPr>
              <w:spacing w:before="60" w:after="60" w:line="240" w:lineRule="auto"/>
              <w:jc w:val="left"/>
              <w:rPr>
                <w:sz w:val="20"/>
                <w:szCs w:val="20"/>
              </w:rPr>
            </w:pPr>
            <w:r w:rsidRPr="00532B85">
              <w:rPr>
                <w:sz w:val="20"/>
                <w:szCs w:val="20"/>
              </w:rPr>
              <w:t>Finland – Indonesia</w:t>
            </w:r>
          </w:p>
        </w:tc>
        <w:tc>
          <w:tcPr>
            <w:tcW w:w="664" w:type="pct"/>
            <w:vAlign w:val="center"/>
          </w:tcPr>
          <w:p w14:paraId="737F7FD9"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7D589E5D"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5D195850" w14:textId="77777777" w:rsidTr="002A0E40">
        <w:trPr>
          <w:trHeight w:val="53"/>
        </w:trPr>
        <w:tc>
          <w:tcPr>
            <w:tcW w:w="471" w:type="pct"/>
            <w:vMerge/>
          </w:tcPr>
          <w:p w14:paraId="2EC084DD"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2AB5D546" w14:textId="77777777" w:rsidR="00690701" w:rsidRPr="00532B85" w:rsidRDefault="00690701">
            <w:pPr>
              <w:spacing w:before="60" w:after="60" w:line="240" w:lineRule="auto"/>
              <w:jc w:val="left"/>
              <w:rPr>
                <w:sz w:val="20"/>
                <w:szCs w:val="20"/>
              </w:rPr>
            </w:pPr>
            <w:r w:rsidRPr="00532B85">
              <w:rPr>
                <w:sz w:val="20"/>
                <w:szCs w:val="20"/>
              </w:rPr>
              <w:t>17</w:t>
            </w:r>
          </w:p>
        </w:tc>
        <w:tc>
          <w:tcPr>
            <w:tcW w:w="1222" w:type="pct"/>
            <w:vAlign w:val="center"/>
          </w:tcPr>
          <w:p w14:paraId="1CC3A0BE" w14:textId="77777777" w:rsidR="00690701" w:rsidRPr="008D4980" w:rsidRDefault="00690701">
            <w:pPr>
              <w:spacing w:before="60" w:after="60" w:line="240" w:lineRule="auto"/>
              <w:jc w:val="left"/>
              <w:rPr>
                <w:b/>
                <w:sz w:val="20"/>
                <w:szCs w:val="20"/>
              </w:rPr>
            </w:pPr>
            <w:r w:rsidRPr="008D4980">
              <w:rPr>
                <w:b/>
                <w:sz w:val="20"/>
                <w:szCs w:val="20"/>
              </w:rPr>
              <w:t>Mozambique</w:t>
            </w:r>
          </w:p>
        </w:tc>
        <w:tc>
          <w:tcPr>
            <w:tcW w:w="987" w:type="pct"/>
            <w:vAlign w:val="center"/>
          </w:tcPr>
          <w:p w14:paraId="17FA6959" w14:textId="77777777" w:rsidR="00690701" w:rsidRPr="00532B85" w:rsidRDefault="00690701">
            <w:pPr>
              <w:spacing w:before="60" w:after="60" w:line="240" w:lineRule="auto"/>
              <w:jc w:val="left"/>
              <w:rPr>
                <w:sz w:val="20"/>
                <w:szCs w:val="20"/>
              </w:rPr>
            </w:pPr>
            <w:r w:rsidRPr="00532B85">
              <w:rPr>
                <w:sz w:val="20"/>
                <w:szCs w:val="20"/>
              </w:rPr>
              <w:t>South Africa</w:t>
            </w:r>
          </w:p>
        </w:tc>
        <w:tc>
          <w:tcPr>
            <w:tcW w:w="664" w:type="pct"/>
            <w:vAlign w:val="center"/>
          </w:tcPr>
          <w:p w14:paraId="7CA84A61" w14:textId="77777777" w:rsidR="00690701" w:rsidRPr="00532B85" w:rsidRDefault="00690701">
            <w:pPr>
              <w:spacing w:before="60" w:after="60" w:line="240" w:lineRule="auto"/>
              <w:jc w:val="left"/>
              <w:rPr>
                <w:sz w:val="20"/>
                <w:szCs w:val="20"/>
              </w:rPr>
            </w:pPr>
            <w:r w:rsidRPr="00532B85">
              <w:rPr>
                <w:sz w:val="20"/>
                <w:szCs w:val="20"/>
              </w:rPr>
              <w:t>WFP</w:t>
            </w:r>
          </w:p>
        </w:tc>
        <w:tc>
          <w:tcPr>
            <w:tcW w:w="1410" w:type="pct"/>
            <w:vAlign w:val="center"/>
          </w:tcPr>
          <w:p w14:paraId="5F3A5D47"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3F42608D" w14:textId="77777777" w:rsidTr="002A0E40">
        <w:trPr>
          <w:trHeight w:val="53"/>
        </w:trPr>
        <w:tc>
          <w:tcPr>
            <w:tcW w:w="471" w:type="pct"/>
            <w:vMerge/>
          </w:tcPr>
          <w:p w14:paraId="305DE801"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1D9A3A45" w14:textId="77777777" w:rsidR="00690701" w:rsidRPr="00532B85" w:rsidRDefault="00690701">
            <w:pPr>
              <w:spacing w:before="60" w:after="60" w:line="240" w:lineRule="auto"/>
              <w:jc w:val="left"/>
              <w:rPr>
                <w:sz w:val="20"/>
                <w:szCs w:val="20"/>
              </w:rPr>
            </w:pPr>
            <w:r w:rsidRPr="00532B85">
              <w:rPr>
                <w:sz w:val="20"/>
                <w:szCs w:val="20"/>
              </w:rPr>
              <w:t>18</w:t>
            </w:r>
          </w:p>
        </w:tc>
        <w:tc>
          <w:tcPr>
            <w:tcW w:w="1222" w:type="pct"/>
            <w:vAlign w:val="center"/>
          </w:tcPr>
          <w:p w14:paraId="40BA1C9E" w14:textId="77777777" w:rsidR="00690701" w:rsidRPr="008D4980" w:rsidRDefault="00690701">
            <w:pPr>
              <w:spacing w:before="60" w:after="60" w:line="240" w:lineRule="auto"/>
              <w:jc w:val="left"/>
              <w:rPr>
                <w:b/>
                <w:sz w:val="20"/>
                <w:szCs w:val="20"/>
              </w:rPr>
            </w:pPr>
            <w:r w:rsidRPr="008D4980">
              <w:rPr>
                <w:b/>
                <w:sz w:val="20"/>
                <w:szCs w:val="20"/>
              </w:rPr>
              <w:t>Nepal</w:t>
            </w:r>
          </w:p>
        </w:tc>
        <w:tc>
          <w:tcPr>
            <w:tcW w:w="987" w:type="pct"/>
            <w:vAlign w:val="center"/>
          </w:tcPr>
          <w:p w14:paraId="3EE8B20A"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0002FEE8"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0DF9B285" w14:textId="76DBE5F2" w:rsidR="00690701" w:rsidRPr="00040F91" w:rsidRDefault="00690701">
            <w:pPr>
              <w:spacing w:before="60" w:after="60" w:line="240" w:lineRule="auto"/>
              <w:jc w:val="left"/>
              <w:rPr>
                <w:sz w:val="20"/>
                <w:szCs w:val="20"/>
              </w:rPr>
            </w:pPr>
            <w:r w:rsidRPr="00040F91">
              <w:rPr>
                <w:sz w:val="20"/>
                <w:szCs w:val="20"/>
              </w:rPr>
              <w:t xml:space="preserve">Readiness phase </w:t>
            </w:r>
            <w:r w:rsidR="003A1DD4" w:rsidRPr="00040F91">
              <w:rPr>
                <w:sz w:val="20"/>
                <w:szCs w:val="20"/>
              </w:rPr>
              <w:t>completed</w:t>
            </w:r>
          </w:p>
        </w:tc>
      </w:tr>
      <w:tr w:rsidR="00690701" w:rsidRPr="00532B85" w14:paraId="307E60AD" w14:textId="77777777" w:rsidTr="002A0E40">
        <w:trPr>
          <w:trHeight w:val="53"/>
        </w:trPr>
        <w:tc>
          <w:tcPr>
            <w:tcW w:w="471" w:type="pct"/>
            <w:vMerge/>
          </w:tcPr>
          <w:p w14:paraId="707EC66B"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4A8EDA13" w14:textId="77777777" w:rsidR="00690701" w:rsidRPr="00532B85" w:rsidRDefault="00690701">
            <w:pPr>
              <w:spacing w:before="60" w:after="60" w:line="240" w:lineRule="auto"/>
              <w:jc w:val="left"/>
              <w:rPr>
                <w:sz w:val="20"/>
                <w:szCs w:val="20"/>
              </w:rPr>
            </w:pPr>
            <w:r w:rsidRPr="00532B85">
              <w:rPr>
                <w:sz w:val="20"/>
                <w:szCs w:val="20"/>
              </w:rPr>
              <w:t>19</w:t>
            </w:r>
          </w:p>
        </w:tc>
        <w:tc>
          <w:tcPr>
            <w:tcW w:w="1222" w:type="pct"/>
            <w:vAlign w:val="center"/>
          </w:tcPr>
          <w:p w14:paraId="6550F79F" w14:textId="77777777" w:rsidR="00690701" w:rsidRPr="008D4980" w:rsidRDefault="00690701">
            <w:pPr>
              <w:spacing w:before="60" w:after="60" w:line="240" w:lineRule="auto"/>
              <w:jc w:val="left"/>
              <w:rPr>
                <w:b/>
                <w:sz w:val="20"/>
                <w:szCs w:val="20"/>
              </w:rPr>
            </w:pPr>
            <w:r w:rsidRPr="008D4980">
              <w:rPr>
                <w:b/>
                <w:sz w:val="20"/>
                <w:szCs w:val="20"/>
              </w:rPr>
              <w:t>Rwanda</w:t>
            </w:r>
          </w:p>
        </w:tc>
        <w:tc>
          <w:tcPr>
            <w:tcW w:w="987" w:type="pct"/>
            <w:vAlign w:val="center"/>
          </w:tcPr>
          <w:p w14:paraId="6E387E1A"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084AA881"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332F167C"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66AFBD4D" w14:textId="77777777" w:rsidTr="002A0E40">
        <w:trPr>
          <w:trHeight w:val="53"/>
        </w:trPr>
        <w:tc>
          <w:tcPr>
            <w:tcW w:w="471" w:type="pct"/>
            <w:vMerge/>
          </w:tcPr>
          <w:p w14:paraId="7B4F8737"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350335ED" w14:textId="77777777" w:rsidR="00690701" w:rsidRPr="00532B85" w:rsidRDefault="00690701">
            <w:pPr>
              <w:spacing w:before="60" w:after="60" w:line="240" w:lineRule="auto"/>
              <w:jc w:val="left"/>
              <w:rPr>
                <w:sz w:val="20"/>
                <w:szCs w:val="20"/>
              </w:rPr>
            </w:pPr>
            <w:r w:rsidRPr="00532B85">
              <w:rPr>
                <w:sz w:val="20"/>
                <w:szCs w:val="20"/>
              </w:rPr>
              <w:t>20</w:t>
            </w:r>
          </w:p>
        </w:tc>
        <w:tc>
          <w:tcPr>
            <w:tcW w:w="1222" w:type="pct"/>
            <w:vAlign w:val="center"/>
          </w:tcPr>
          <w:p w14:paraId="5738A322" w14:textId="77777777" w:rsidR="00690701" w:rsidRPr="008D4980" w:rsidRDefault="00690701">
            <w:pPr>
              <w:spacing w:before="60" w:after="60" w:line="240" w:lineRule="auto"/>
              <w:jc w:val="left"/>
              <w:rPr>
                <w:b/>
                <w:sz w:val="20"/>
                <w:szCs w:val="20"/>
              </w:rPr>
            </w:pPr>
            <w:r w:rsidRPr="008D4980">
              <w:rPr>
                <w:b/>
                <w:sz w:val="20"/>
                <w:szCs w:val="20"/>
              </w:rPr>
              <w:t>Samoa</w:t>
            </w:r>
          </w:p>
        </w:tc>
        <w:tc>
          <w:tcPr>
            <w:tcW w:w="987" w:type="pct"/>
            <w:vAlign w:val="center"/>
          </w:tcPr>
          <w:p w14:paraId="32D7279E" w14:textId="77777777" w:rsidR="00690701" w:rsidRPr="00532B85" w:rsidRDefault="00690701">
            <w:pPr>
              <w:spacing w:before="60" w:after="60" w:line="240" w:lineRule="auto"/>
              <w:jc w:val="left"/>
              <w:rPr>
                <w:sz w:val="20"/>
                <w:szCs w:val="20"/>
              </w:rPr>
            </w:pPr>
            <w:r w:rsidRPr="00532B85">
              <w:rPr>
                <w:sz w:val="20"/>
                <w:szCs w:val="20"/>
              </w:rPr>
              <w:t>Australia</w:t>
            </w:r>
          </w:p>
        </w:tc>
        <w:tc>
          <w:tcPr>
            <w:tcW w:w="664" w:type="pct"/>
            <w:vAlign w:val="center"/>
          </w:tcPr>
          <w:p w14:paraId="0317B131" w14:textId="77777777" w:rsidR="00690701" w:rsidRPr="00532B85" w:rsidRDefault="00690701">
            <w:pPr>
              <w:spacing w:before="60" w:after="60" w:line="240" w:lineRule="auto"/>
              <w:jc w:val="left"/>
              <w:rPr>
                <w:sz w:val="20"/>
                <w:szCs w:val="20"/>
              </w:rPr>
            </w:pPr>
            <w:r w:rsidRPr="00532B85">
              <w:rPr>
                <w:sz w:val="20"/>
                <w:szCs w:val="20"/>
              </w:rPr>
              <w:t>World Bank</w:t>
            </w:r>
          </w:p>
        </w:tc>
        <w:tc>
          <w:tcPr>
            <w:tcW w:w="1410" w:type="pct"/>
            <w:vAlign w:val="center"/>
          </w:tcPr>
          <w:p w14:paraId="3EF561A5" w14:textId="77777777" w:rsidR="00690701" w:rsidRPr="00040F91" w:rsidRDefault="00690701">
            <w:pPr>
              <w:spacing w:before="60" w:after="60" w:line="240" w:lineRule="auto"/>
              <w:jc w:val="left"/>
              <w:rPr>
                <w:sz w:val="20"/>
                <w:szCs w:val="20"/>
              </w:rPr>
            </w:pPr>
            <w:r w:rsidRPr="00040F91">
              <w:rPr>
                <w:sz w:val="20"/>
                <w:szCs w:val="20"/>
              </w:rPr>
              <w:t>Investment funding request conditionally approved</w:t>
            </w:r>
          </w:p>
        </w:tc>
      </w:tr>
      <w:tr w:rsidR="00690701" w:rsidRPr="00532B85" w14:paraId="550D256D" w14:textId="77777777" w:rsidTr="002A0E40">
        <w:trPr>
          <w:trHeight w:val="53"/>
        </w:trPr>
        <w:tc>
          <w:tcPr>
            <w:tcW w:w="471" w:type="pct"/>
            <w:vMerge/>
          </w:tcPr>
          <w:p w14:paraId="7EFE12F4"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42A0EA0" w14:textId="77777777" w:rsidR="00690701" w:rsidRPr="00532B85" w:rsidRDefault="00690701">
            <w:pPr>
              <w:spacing w:before="60" w:after="60" w:line="240" w:lineRule="auto"/>
              <w:jc w:val="left"/>
              <w:rPr>
                <w:sz w:val="20"/>
                <w:szCs w:val="20"/>
              </w:rPr>
            </w:pPr>
            <w:r w:rsidRPr="00532B85">
              <w:rPr>
                <w:sz w:val="20"/>
                <w:szCs w:val="20"/>
              </w:rPr>
              <w:t>21</w:t>
            </w:r>
          </w:p>
        </w:tc>
        <w:tc>
          <w:tcPr>
            <w:tcW w:w="1222" w:type="pct"/>
            <w:vAlign w:val="center"/>
          </w:tcPr>
          <w:p w14:paraId="0C801739" w14:textId="77777777" w:rsidR="00690701" w:rsidRPr="008D4980" w:rsidRDefault="00690701">
            <w:pPr>
              <w:spacing w:before="60" w:after="60" w:line="240" w:lineRule="auto"/>
              <w:jc w:val="left"/>
              <w:rPr>
                <w:b/>
                <w:sz w:val="20"/>
                <w:szCs w:val="20"/>
              </w:rPr>
            </w:pPr>
            <w:r w:rsidRPr="008D4980">
              <w:rPr>
                <w:b/>
                <w:sz w:val="20"/>
                <w:szCs w:val="20"/>
              </w:rPr>
              <w:t>Senegal</w:t>
            </w:r>
          </w:p>
        </w:tc>
        <w:tc>
          <w:tcPr>
            <w:tcW w:w="987" w:type="pct"/>
            <w:vAlign w:val="center"/>
          </w:tcPr>
          <w:p w14:paraId="2907AC5E" w14:textId="77777777" w:rsidR="00690701" w:rsidRPr="00532B85" w:rsidRDefault="00690701">
            <w:pPr>
              <w:spacing w:before="60" w:after="60" w:line="240" w:lineRule="auto"/>
              <w:jc w:val="left"/>
              <w:rPr>
                <w:sz w:val="20"/>
                <w:szCs w:val="20"/>
              </w:rPr>
            </w:pPr>
            <w:r w:rsidRPr="00532B85">
              <w:rPr>
                <w:sz w:val="20"/>
                <w:szCs w:val="20"/>
              </w:rPr>
              <w:t>Netherlands</w:t>
            </w:r>
          </w:p>
        </w:tc>
        <w:tc>
          <w:tcPr>
            <w:tcW w:w="664" w:type="pct"/>
            <w:vAlign w:val="center"/>
          </w:tcPr>
          <w:p w14:paraId="266C50A4" w14:textId="77777777" w:rsidR="00690701" w:rsidRPr="00532B85" w:rsidRDefault="00690701">
            <w:pPr>
              <w:spacing w:before="60" w:after="60" w:line="240" w:lineRule="auto"/>
              <w:jc w:val="left"/>
              <w:rPr>
                <w:sz w:val="20"/>
                <w:szCs w:val="20"/>
              </w:rPr>
            </w:pPr>
            <w:r w:rsidRPr="00532B85">
              <w:rPr>
                <w:sz w:val="20"/>
                <w:szCs w:val="20"/>
              </w:rPr>
              <w:t>IsDB</w:t>
            </w:r>
          </w:p>
        </w:tc>
        <w:tc>
          <w:tcPr>
            <w:tcW w:w="1410" w:type="pct"/>
            <w:vAlign w:val="center"/>
          </w:tcPr>
          <w:p w14:paraId="245E69CA"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11384035" w14:textId="77777777" w:rsidTr="002A0E40">
        <w:trPr>
          <w:trHeight w:val="53"/>
        </w:trPr>
        <w:tc>
          <w:tcPr>
            <w:tcW w:w="471" w:type="pct"/>
            <w:vMerge/>
          </w:tcPr>
          <w:p w14:paraId="7461A587"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61183190" w14:textId="77777777" w:rsidR="00690701" w:rsidRPr="00532B85" w:rsidRDefault="00690701">
            <w:pPr>
              <w:spacing w:before="60" w:after="60" w:line="240" w:lineRule="auto"/>
              <w:jc w:val="left"/>
              <w:rPr>
                <w:sz w:val="20"/>
                <w:szCs w:val="20"/>
              </w:rPr>
            </w:pPr>
            <w:r w:rsidRPr="00532B85">
              <w:rPr>
                <w:sz w:val="20"/>
                <w:szCs w:val="20"/>
              </w:rPr>
              <w:t>22</w:t>
            </w:r>
          </w:p>
        </w:tc>
        <w:tc>
          <w:tcPr>
            <w:tcW w:w="1222" w:type="pct"/>
            <w:vAlign w:val="center"/>
          </w:tcPr>
          <w:p w14:paraId="78325586" w14:textId="77777777" w:rsidR="00690701" w:rsidRPr="008D4980" w:rsidRDefault="00690701">
            <w:pPr>
              <w:spacing w:before="60" w:after="60" w:line="240" w:lineRule="auto"/>
              <w:jc w:val="left"/>
              <w:rPr>
                <w:b/>
                <w:sz w:val="20"/>
                <w:szCs w:val="20"/>
              </w:rPr>
            </w:pPr>
            <w:r w:rsidRPr="008D4980">
              <w:rPr>
                <w:b/>
                <w:sz w:val="20"/>
                <w:szCs w:val="20"/>
              </w:rPr>
              <w:t>Solomon Islands</w:t>
            </w:r>
          </w:p>
        </w:tc>
        <w:tc>
          <w:tcPr>
            <w:tcW w:w="987" w:type="pct"/>
            <w:vAlign w:val="center"/>
          </w:tcPr>
          <w:p w14:paraId="3E07EB51" w14:textId="77777777" w:rsidR="00690701" w:rsidRPr="00532B85" w:rsidRDefault="00690701">
            <w:pPr>
              <w:spacing w:before="60" w:after="60" w:line="240" w:lineRule="auto"/>
              <w:jc w:val="left"/>
              <w:rPr>
                <w:sz w:val="20"/>
                <w:szCs w:val="20"/>
              </w:rPr>
            </w:pPr>
            <w:r w:rsidRPr="00532B85">
              <w:rPr>
                <w:sz w:val="20"/>
                <w:szCs w:val="20"/>
              </w:rPr>
              <w:t>Australia</w:t>
            </w:r>
          </w:p>
        </w:tc>
        <w:tc>
          <w:tcPr>
            <w:tcW w:w="664" w:type="pct"/>
            <w:vAlign w:val="center"/>
          </w:tcPr>
          <w:p w14:paraId="50DB6328"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0B77E27B"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18EC3D9F" w14:textId="77777777" w:rsidTr="002A0E40">
        <w:trPr>
          <w:trHeight w:val="53"/>
        </w:trPr>
        <w:tc>
          <w:tcPr>
            <w:tcW w:w="471" w:type="pct"/>
            <w:vMerge/>
          </w:tcPr>
          <w:p w14:paraId="3603FB95"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51D76429" w14:textId="77777777" w:rsidR="00690701" w:rsidRPr="00532B85" w:rsidRDefault="00690701">
            <w:pPr>
              <w:spacing w:before="60" w:after="60" w:line="240" w:lineRule="auto"/>
              <w:jc w:val="left"/>
              <w:rPr>
                <w:sz w:val="20"/>
                <w:szCs w:val="20"/>
              </w:rPr>
            </w:pPr>
            <w:r w:rsidRPr="00532B85">
              <w:rPr>
                <w:sz w:val="20"/>
                <w:szCs w:val="20"/>
              </w:rPr>
              <w:t>23</w:t>
            </w:r>
          </w:p>
        </w:tc>
        <w:tc>
          <w:tcPr>
            <w:tcW w:w="1222" w:type="pct"/>
            <w:vAlign w:val="center"/>
          </w:tcPr>
          <w:p w14:paraId="4F2A5B5A" w14:textId="77777777" w:rsidR="00690701" w:rsidRPr="008D4980" w:rsidRDefault="00690701">
            <w:pPr>
              <w:spacing w:before="60" w:after="60" w:line="240" w:lineRule="auto"/>
              <w:jc w:val="left"/>
              <w:rPr>
                <w:b/>
                <w:sz w:val="20"/>
                <w:szCs w:val="20"/>
              </w:rPr>
            </w:pPr>
            <w:r w:rsidRPr="008D4980">
              <w:rPr>
                <w:b/>
                <w:sz w:val="20"/>
                <w:szCs w:val="20"/>
              </w:rPr>
              <w:t>South Sudan</w:t>
            </w:r>
          </w:p>
        </w:tc>
        <w:tc>
          <w:tcPr>
            <w:tcW w:w="987" w:type="pct"/>
            <w:vAlign w:val="center"/>
          </w:tcPr>
          <w:p w14:paraId="26FF5919" w14:textId="77777777" w:rsidR="00690701" w:rsidRPr="00F67290" w:rsidRDefault="00690701">
            <w:pPr>
              <w:spacing w:before="60" w:after="60" w:line="240" w:lineRule="auto"/>
              <w:jc w:val="left"/>
              <w:rPr>
                <w:sz w:val="20"/>
                <w:szCs w:val="20"/>
              </w:rPr>
            </w:pPr>
            <w:r w:rsidRPr="00F67290">
              <w:rPr>
                <w:sz w:val="20"/>
                <w:szCs w:val="20"/>
              </w:rPr>
              <w:t>Austria</w:t>
            </w:r>
          </w:p>
        </w:tc>
        <w:tc>
          <w:tcPr>
            <w:tcW w:w="664" w:type="pct"/>
            <w:vAlign w:val="center"/>
          </w:tcPr>
          <w:p w14:paraId="2D09DFE9" w14:textId="620AA93C" w:rsidR="00690701" w:rsidRPr="00F67290" w:rsidRDefault="00690701">
            <w:pPr>
              <w:spacing w:before="60" w:after="60" w:line="240" w:lineRule="auto"/>
              <w:jc w:val="left"/>
              <w:rPr>
                <w:sz w:val="20"/>
                <w:szCs w:val="20"/>
              </w:rPr>
            </w:pPr>
            <w:r w:rsidRPr="1F292A06">
              <w:rPr>
                <w:sz w:val="20"/>
                <w:szCs w:val="20"/>
              </w:rPr>
              <w:t xml:space="preserve">FAO </w:t>
            </w:r>
          </w:p>
        </w:tc>
        <w:tc>
          <w:tcPr>
            <w:tcW w:w="1410" w:type="pct"/>
            <w:vAlign w:val="center"/>
          </w:tcPr>
          <w:p w14:paraId="6EDFC096" w14:textId="3D39727B" w:rsidR="00690701" w:rsidRPr="00040F91" w:rsidRDefault="00C674FB">
            <w:pPr>
              <w:spacing w:before="60" w:after="60" w:line="240" w:lineRule="auto"/>
              <w:jc w:val="left"/>
              <w:rPr>
                <w:sz w:val="20"/>
                <w:szCs w:val="20"/>
              </w:rPr>
            </w:pPr>
            <w:r w:rsidRPr="00040F91">
              <w:rPr>
                <w:sz w:val="20"/>
                <w:szCs w:val="20"/>
              </w:rPr>
              <w:t xml:space="preserve">Revised </w:t>
            </w:r>
            <w:r w:rsidR="00690701" w:rsidRPr="00040F91">
              <w:rPr>
                <w:sz w:val="20"/>
                <w:szCs w:val="20"/>
              </w:rPr>
              <w:t>Investment phase</w:t>
            </w:r>
            <w:r w:rsidRPr="00040F91">
              <w:rPr>
                <w:sz w:val="20"/>
                <w:szCs w:val="20"/>
              </w:rPr>
              <w:t xml:space="preserve"> </w:t>
            </w:r>
            <w:r w:rsidR="0002561D" w:rsidRPr="00040F91">
              <w:rPr>
                <w:sz w:val="20"/>
                <w:szCs w:val="20"/>
              </w:rPr>
              <w:t xml:space="preserve">funding request to be submitted to </w:t>
            </w:r>
            <w:r w:rsidR="002C0472" w:rsidRPr="00040F91">
              <w:rPr>
                <w:sz w:val="20"/>
                <w:szCs w:val="20"/>
              </w:rPr>
              <w:t>12</w:t>
            </w:r>
            <w:r w:rsidR="0002561D" w:rsidRPr="00040F91">
              <w:rPr>
                <w:sz w:val="20"/>
                <w:szCs w:val="20"/>
              </w:rPr>
              <w:t>SC for approval</w:t>
            </w:r>
          </w:p>
        </w:tc>
      </w:tr>
      <w:tr w:rsidR="00690701" w:rsidRPr="00532B85" w14:paraId="0BFDA431" w14:textId="77777777" w:rsidTr="002A0E40">
        <w:trPr>
          <w:trHeight w:val="53"/>
        </w:trPr>
        <w:tc>
          <w:tcPr>
            <w:tcW w:w="471" w:type="pct"/>
            <w:vMerge/>
          </w:tcPr>
          <w:p w14:paraId="3A04AB71"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6031EE1B" w14:textId="77777777" w:rsidR="00690701" w:rsidRPr="00532B85" w:rsidRDefault="00690701">
            <w:pPr>
              <w:spacing w:before="60" w:after="60" w:line="240" w:lineRule="auto"/>
              <w:jc w:val="left"/>
              <w:rPr>
                <w:sz w:val="20"/>
                <w:szCs w:val="20"/>
              </w:rPr>
            </w:pPr>
            <w:r w:rsidRPr="00532B85">
              <w:rPr>
                <w:sz w:val="20"/>
                <w:szCs w:val="20"/>
              </w:rPr>
              <w:t>24</w:t>
            </w:r>
          </w:p>
        </w:tc>
        <w:tc>
          <w:tcPr>
            <w:tcW w:w="1222" w:type="pct"/>
            <w:vAlign w:val="center"/>
          </w:tcPr>
          <w:p w14:paraId="76887CC3" w14:textId="77777777" w:rsidR="00690701" w:rsidRPr="008D4980" w:rsidRDefault="00690701">
            <w:pPr>
              <w:spacing w:before="60" w:after="60" w:line="240" w:lineRule="auto"/>
              <w:jc w:val="left"/>
              <w:rPr>
                <w:b/>
                <w:sz w:val="20"/>
                <w:szCs w:val="20"/>
              </w:rPr>
            </w:pPr>
            <w:r w:rsidRPr="008D4980">
              <w:rPr>
                <w:rFonts w:hint="eastAsia"/>
                <w:b/>
                <w:sz w:val="20"/>
                <w:szCs w:val="20"/>
                <w:lang w:eastAsia="ko-KR"/>
              </w:rPr>
              <w:t>United Republic of Tanzania</w:t>
            </w:r>
          </w:p>
        </w:tc>
        <w:tc>
          <w:tcPr>
            <w:tcW w:w="987" w:type="pct"/>
            <w:vAlign w:val="center"/>
          </w:tcPr>
          <w:p w14:paraId="6D2747D0" w14:textId="77777777" w:rsidR="00690701" w:rsidRPr="00532B85" w:rsidRDefault="00690701">
            <w:pPr>
              <w:spacing w:before="60" w:after="60" w:line="240" w:lineRule="auto"/>
              <w:jc w:val="left"/>
              <w:rPr>
                <w:sz w:val="20"/>
                <w:szCs w:val="20"/>
              </w:rPr>
            </w:pPr>
            <w:r w:rsidRPr="00532B85">
              <w:rPr>
                <w:sz w:val="20"/>
                <w:szCs w:val="20"/>
              </w:rPr>
              <w:t>Denmark</w:t>
            </w:r>
          </w:p>
        </w:tc>
        <w:tc>
          <w:tcPr>
            <w:tcW w:w="664" w:type="pct"/>
            <w:vAlign w:val="center"/>
          </w:tcPr>
          <w:p w14:paraId="16FAE3E3"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32052F8B"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09E52094" w14:textId="77777777" w:rsidTr="002A0E40">
        <w:trPr>
          <w:trHeight w:val="53"/>
        </w:trPr>
        <w:tc>
          <w:tcPr>
            <w:tcW w:w="471" w:type="pct"/>
            <w:vMerge/>
          </w:tcPr>
          <w:p w14:paraId="1C90A439"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3F8EFED" w14:textId="77777777" w:rsidR="00690701" w:rsidRPr="00532B85" w:rsidRDefault="00690701">
            <w:pPr>
              <w:spacing w:before="60" w:after="60" w:line="240" w:lineRule="auto"/>
              <w:jc w:val="left"/>
              <w:rPr>
                <w:sz w:val="20"/>
                <w:szCs w:val="20"/>
              </w:rPr>
            </w:pPr>
            <w:r w:rsidRPr="00532B85">
              <w:rPr>
                <w:sz w:val="20"/>
                <w:szCs w:val="20"/>
              </w:rPr>
              <w:t>25</w:t>
            </w:r>
          </w:p>
        </w:tc>
        <w:tc>
          <w:tcPr>
            <w:tcW w:w="1222" w:type="pct"/>
            <w:vAlign w:val="center"/>
          </w:tcPr>
          <w:p w14:paraId="30195368" w14:textId="77777777" w:rsidR="00690701" w:rsidRPr="008D4980" w:rsidRDefault="00690701">
            <w:pPr>
              <w:spacing w:before="60" w:after="60" w:line="240" w:lineRule="auto"/>
              <w:jc w:val="left"/>
              <w:rPr>
                <w:b/>
                <w:sz w:val="20"/>
                <w:szCs w:val="20"/>
              </w:rPr>
            </w:pPr>
            <w:r w:rsidRPr="008D4980">
              <w:rPr>
                <w:b/>
                <w:sz w:val="20"/>
                <w:szCs w:val="20"/>
              </w:rPr>
              <w:t>Timor-Leste</w:t>
            </w:r>
          </w:p>
        </w:tc>
        <w:tc>
          <w:tcPr>
            <w:tcW w:w="987" w:type="pct"/>
            <w:vAlign w:val="center"/>
          </w:tcPr>
          <w:p w14:paraId="56A17D71" w14:textId="77777777" w:rsidR="00690701" w:rsidRPr="00532B85" w:rsidRDefault="00690701">
            <w:pPr>
              <w:spacing w:before="60" w:after="60" w:line="240" w:lineRule="auto"/>
              <w:jc w:val="left"/>
              <w:rPr>
                <w:sz w:val="20"/>
                <w:szCs w:val="20"/>
              </w:rPr>
            </w:pPr>
            <w:r w:rsidRPr="00532B85">
              <w:rPr>
                <w:sz w:val="20"/>
                <w:szCs w:val="20"/>
              </w:rPr>
              <w:t>Finland– Indonesia</w:t>
            </w:r>
          </w:p>
        </w:tc>
        <w:tc>
          <w:tcPr>
            <w:tcW w:w="664" w:type="pct"/>
            <w:vAlign w:val="center"/>
          </w:tcPr>
          <w:p w14:paraId="0C564EE4"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661D3773" w14:textId="77777777" w:rsidR="00690701" w:rsidRPr="00040F91" w:rsidRDefault="00690701">
            <w:pPr>
              <w:spacing w:before="60" w:after="60" w:line="240" w:lineRule="auto"/>
              <w:jc w:val="left"/>
              <w:rPr>
                <w:sz w:val="20"/>
                <w:szCs w:val="20"/>
              </w:rPr>
            </w:pPr>
            <w:r w:rsidRPr="00040F91">
              <w:rPr>
                <w:sz w:val="20"/>
                <w:szCs w:val="20"/>
              </w:rPr>
              <w:t>Investment phase</w:t>
            </w:r>
          </w:p>
        </w:tc>
      </w:tr>
      <w:tr w:rsidR="00690701" w:rsidRPr="00532B85" w14:paraId="6E327D30" w14:textId="77777777" w:rsidTr="002A0E40">
        <w:trPr>
          <w:trHeight w:val="53"/>
        </w:trPr>
        <w:tc>
          <w:tcPr>
            <w:tcW w:w="471" w:type="pct"/>
            <w:vMerge/>
          </w:tcPr>
          <w:p w14:paraId="361F9386" w14:textId="77777777" w:rsidR="00690701" w:rsidRPr="00532B85" w:rsidRDefault="00690701">
            <w:pPr>
              <w:spacing w:before="60" w:after="60" w:line="240" w:lineRule="auto"/>
              <w:jc w:val="left"/>
              <w:rPr>
                <w:sz w:val="20"/>
                <w:szCs w:val="20"/>
              </w:rPr>
            </w:pPr>
          </w:p>
        </w:tc>
        <w:tc>
          <w:tcPr>
            <w:tcW w:w="247" w:type="pct"/>
            <w:shd w:val="clear" w:color="auto" w:fill="D9D9D9" w:themeFill="background1" w:themeFillShade="D9"/>
            <w:vAlign w:val="center"/>
          </w:tcPr>
          <w:p w14:paraId="746B59A3" w14:textId="77777777" w:rsidR="00690701" w:rsidRPr="00532B85" w:rsidRDefault="00690701">
            <w:pPr>
              <w:spacing w:before="60" w:after="60" w:line="240" w:lineRule="auto"/>
              <w:jc w:val="left"/>
              <w:rPr>
                <w:sz w:val="20"/>
                <w:szCs w:val="20"/>
              </w:rPr>
            </w:pPr>
            <w:r w:rsidRPr="00532B85">
              <w:rPr>
                <w:sz w:val="20"/>
                <w:szCs w:val="20"/>
              </w:rPr>
              <w:t>26</w:t>
            </w:r>
          </w:p>
        </w:tc>
        <w:tc>
          <w:tcPr>
            <w:tcW w:w="1222" w:type="pct"/>
            <w:vAlign w:val="center"/>
          </w:tcPr>
          <w:p w14:paraId="555AB9E0" w14:textId="77777777" w:rsidR="00690701" w:rsidRPr="008D4980" w:rsidRDefault="00690701">
            <w:pPr>
              <w:spacing w:before="60" w:after="60" w:line="240" w:lineRule="auto"/>
              <w:jc w:val="left"/>
              <w:rPr>
                <w:b/>
                <w:sz w:val="20"/>
                <w:szCs w:val="20"/>
              </w:rPr>
            </w:pPr>
            <w:r w:rsidRPr="008D4980">
              <w:rPr>
                <w:b/>
                <w:sz w:val="20"/>
                <w:szCs w:val="20"/>
              </w:rPr>
              <w:t>Tuvalu</w:t>
            </w:r>
          </w:p>
        </w:tc>
        <w:tc>
          <w:tcPr>
            <w:tcW w:w="987" w:type="pct"/>
            <w:vAlign w:val="center"/>
          </w:tcPr>
          <w:p w14:paraId="1499A35D" w14:textId="77777777" w:rsidR="00690701" w:rsidRPr="00532B85" w:rsidRDefault="00690701">
            <w:pPr>
              <w:spacing w:before="60" w:after="60" w:line="240" w:lineRule="auto"/>
              <w:jc w:val="left"/>
              <w:rPr>
                <w:sz w:val="20"/>
                <w:szCs w:val="20"/>
              </w:rPr>
            </w:pPr>
            <w:r w:rsidRPr="00532B85">
              <w:rPr>
                <w:sz w:val="20"/>
                <w:szCs w:val="20"/>
              </w:rPr>
              <w:t>New Zealand</w:t>
            </w:r>
          </w:p>
        </w:tc>
        <w:tc>
          <w:tcPr>
            <w:tcW w:w="664" w:type="pct"/>
            <w:vAlign w:val="center"/>
          </w:tcPr>
          <w:p w14:paraId="651CEA38"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21525278"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2A0E40" w:rsidRPr="00532B85" w14:paraId="4B35138F" w14:textId="77777777" w:rsidTr="002A0E40">
        <w:trPr>
          <w:trHeight w:val="53"/>
        </w:trPr>
        <w:tc>
          <w:tcPr>
            <w:tcW w:w="471" w:type="pct"/>
            <w:vMerge w:val="restart"/>
            <w:shd w:val="clear" w:color="auto" w:fill="87A8D6" w:themeFill="accent1" w:themeFillTint="66"/>
          </w:tcPr>
          <w:p w14:paraId="21F9921A" w14:textId="77777777" w:rsidR="002A0E40" w:rsidRPr="002A0E40" w:rsidRDefault="002A0E40">
            <w:pPr>
              <w:spacing w:before="60" w:after="60" w:line="240" w:lineRule="auto"/>
              <w:jc w:val="left"/>
              <w:rPr>
                <w:b/>
                <w:bCs/>
                <w:sz w:val="20"/>
                <w:szCs w:val="20"/>
                <w:highlight w:val="yellow"/>
                <w:lang w:eastAsia="ko-KR"/>
              </w:rPr>
            </w:pPr>
            <w:r w:rsidRPr="002A0E40">
              <w:rPr>
                <w:b/>
                <w:bCs/>
                <w:sz w:val="20"/>
                <w:szCs w:val="20"/>
              </w:rPr>
              <w:t xml:space="preserve">Batch </w:t>
            </w:r>
            <w:r w:rsidRPr="002A0E40">
              <w:rPr>
                <w:rFonts w:hint="eastAsia"/>
                <w:b/>
                <w:bCs/>
                <w:sz w:val="20"/>
                <w:szCs w:val="20"/>
                <w:lang w:eastAsia="ko-KR"/>
              </w:rPr>
              <w:t>2</w:t>
            </w:r>
          </w:p>
        </w:tc>
        <w:tc>
          <w:tcPr>
            <w:tcW w:w="247" w:type="pct"/>
            <w:shd w:val="clear" w:color="auto" w:fill="87A8D6" w:themeFill="accent1" w:themeFillTint="66"/>
            <w:vAlign w:val="center"/>
          </w:tcPr>
          <w:p w14:paraId="7E66A611" w14:textId="77777777" w:rsidR="002A0E40" w:rsidRPr="00532B85" w:rsidRDefault="002A0E40">
            <w:pPr>
              <w:spacing w:before="60" w:after="60" w:line="240" w:lineRule="auto"/>
              <w:jc w:val="left"/>
              <w:rPr>
                <w:sz w:val="20"/>
                <w:szCs w:val="20"/>
              </w:rPr>
            </w:pPr>
            <w:r w:rsidRPr="00532B85">
              <w:rPr>
                <w:sz w:val="20"/>
                <w:szCs w:val="20"/>
              </w:rPr>
              <w:t>27</w:t>
            </w:r>
          </w:p>
        </w:tc>
        <w:tc>
          <w:tcPr>
            <w:tcW w:w="1222" w:type="pct"/>
            <w:vAlign w:val="center"/>
          </w:tcPr>
          <w:p w14:paraId="42FDC3FA" w14:textId="77777777" w:rsidR="002A0E40" w:rsidRPr="008D4980" w:rsidRDefault="002A0E40">
            <w:pPr>
              <w:spacing w:before="60" w:after="60" w:line="240" w:lineRule="auto"/>
              <w:jc w:val="left"/>
              <w:rPr>
                <w:b/>
                <w:sz w:val="20"/>
                <w:szCs w:val="20"/>
              </w:rPr>
            </w:pPr>
            <w:r w:rsidRPr="008D4980">
              <w:rPr>
                <w:b/>
                <w:sz w:val="20"/>
                <w:szCs w:val="20"/>
              </w:rPr>
              <w:t>Cambodia</w:t>
            </w:r>
          </w:p>
        </w:tc>
        <w:tc>
          <w:tcPr>
            <w:tcW w:w="987" w:type="pct"/>
            <w:vAlign w:val="center"/>
          </w:tcPr>
          <w:p w14:paraId="1C541395" w14:textId="77777777" w:rsidR="002A0E40" w:rsidRPr="00532B85" w:rsidRDefault="002A0E40">
            <w:pPr>
              <w:spacing w:before="60" w:after="60" w:line="240" w:lineRule="auto"/>
              <w:jc w:val="left"/>
              <w:rPr>
                <w:sz w:val="20"/>
                <w:szCs w:val="20"/>
              </w:rPr>
            </w:pPr>
            <w:r w:rsidRPr="00532B85">
              <w:rPr>
                <w:sz w:val="20"/>
                <w:szCs w:val="20"/>
              </w:rPr>
              <w:t>United Kingdom</w:t>
            </w:r>
          </w:p>
        </w:tc>
        <w:tc>
          <w:tcPr>
            <w:tcW w:w="664" w:type="pct"/>
            <w:vAlign w:val="center"/>
          </w:tcPr>
          <w:p w14:paraId="607FF2B9" w14:textId="77777777" w:rsidR="002A0E40" w:rsidRPr="00532B85" w:rsidRDefault="002A0E40">
            <w:pPr>
              <w:spacing w:before="60" w:after="60" w:line="240" w:lineRule="auto"/>
              <w:jc w:val="left"/>
              <w:rPr>
                <w:sz w:val="20"/>
                <w:szCs w:val="20"/>
              </w:rPr>
            </w:pPr>
            <w:r w:rsidRPr="1F292A06">
              <w:rPr>
                <w:sz w:val="20"/>
                <w:szCs w:val="20"/>
              </w:rPr>
              <w:t>IFAD</w:t>
            </w:r>
          </w:p>
        </w:tc>
        <w:tc>
          <w:tcPr>
            <w:tcW w:w="1410" w:type="pct"/>
            <w:vAlign w:val="center"/>
          </w:tcPr>
          <w:p w14:paraId="278F9ADF" w14:textId="04817494" w:rsidR="002A0E40" w:rsidRPr="00040F91" w:rsidRDefault="002A0E40">
            <w:pPr>
              <w:spacing w:before="60" w:after="60" w:line="240" w:lineRule="auto"/>
              <w:jc w:val="left"/>
              <w:rPr>
                <w:sz w:val="20"/>
                <w:szCs w:val="20"/>
              </w:rPr>
            </w:pPr>
            <w:r w:rsidRPr="00040F91">
              <w:rPr>
                <w:sz w:val="20"/>
                <w:szCs w:val="20"/>
              </w:rPr>
              <w:t>Investment funding request under review</w:t>
            </w:r>
          </w:p>
        </w:tc>
      </w:tr>
      <w:tr w:rsidR="002A0E40" w:rsidRPr="00532B85" w14:paraId="31B01CC9" w14:textId="77777777" w:rsidTr="002A0E40">
        <w:trPr>
          <w:trHeight w:val="53"/>
        </w:trPr>
        <w:tc>
          <w:tcPr>
            <w:tcW w:w="471" w:type="pct"/>
            <w:vMerge/>
          </w:tcPr>
          <w:p w14:paraId="4E3C37C7"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7734BD88" w14:textId="77777777" w:rsidR="002A0E40" w:rsidRPr="00532B85" w:rsidRDefault="002A0E40">
            <w:pPr>
              <w:spacing w:before="60" w:after="60" w:line="240" w:lineRule="auto"/>
              <w:jc w:val="left"/>
              <w:rPr>
                <w:sz w:val="20"/>
                <w:szCs w:val="20"/>
              </w:rPr>
            </w:pPr>
            <w:r w:rsidRPr="00532B85">
              <w:rPr>
                <w:sz w:val="20"/>
                <w:szCs w:val="20"/>
              </w:rPr>
              <w:t>28</w:t>
            </w:r>
          </w:p>
        </w:tc>
        <w:tc>
          <w:tcPr>
            <w:tcW w:w="1222" w:type="pct"/>
            <w:vAlign w:val="center"/>
          </w:tcPr>
          <w:p w14:paraId="3D580E5B" w14:textId="77777777" w:rsidR="002A0E40" w:rsidRPr="008D4980" w:rsidRDefault="002A0E40">
            <w:pPr>
              <w:spacing w:before="60" w:after="60" w:line="240" w:lineRule="auto"/>
              <w:jc w:val="left"/>
              <w:rPr>
                <w:b/>
                <w:sz w:val="20"/>
                <w:szCs w:val="20"/>
              </w:rPr>
            </w:pPr>
            <w:r w:rsidRPr="008D4980">
              <w:rPr>
                <w:b/>
                <w:sz w:val="20"/>
                <w:szCs w:val="20"/>
              </w:rPr>
              <w:t>Guinea-Bissau</w:t>
            </w:r>
          </w:p>
        </w:tc>
        <w:tc>
          <w:tcPr>
            <w:tcW w:w="987" w:type="pct"/>
            <w:vAlign w:val="center"/>
          </w:tcPr>
          <w:p w14:paraId="762B8DF3" w14:textId="77777777" w:rsidR="002A0E40" w:rsidRPr="00532B85" w:rsidRDefault="002A0E40">
            <w:pPr>
              <w:spacing w:before="60" w:after="60" w:line="240" w:lineRule="auto"/>
              <w:jc w:val="left"/>
              <w:rPr>
                <w:sz w:val="20"/>
                <w:szCs w:val="20"/>
              </w:rPr>
            </w:pPr>
            <w:r w:rsidRPr="00532B85">
              <w:rPr>
                <w:sz w:val="20"/>
                <w:szCs w:val="20"/>
              </w:rPr>
              <w:t>Portugal</w:t>
            </w:r>
          </w:p>
        </w:tc>
        <w:tc>
          <w:tcPr>
            <w:tcW w:w="664" w:type="pct"/>
            <w:vAlign w:val="center"/>
          </w:tcPr>
          <w:p w14:paraId="7FF19BC2" w14:textId="77777777" w:rsidR="002A0E40" w:rsidRPr="00532B85" w:rsidRDefault="002A0E40">
            <w:pPr>
              <w:spacing w:before="60" w:after="60" w:line="240" w:lineRule="auto"/>
              <w:jc w:val="left"/>
              <w:rPr>
                <w:sz w:val="20"/>
                <w:szCs w:val="20"/>
              </w:rPr>
            </w:pPr>
            <w:r w:rsidRPr="00532B85">
              <w:rPr>
                <w:sz w:val="20"/>
                <w:szCs w:val="20"/>
              </w:rPr>
              <w:t>UNEP</w:t>
            </w:r>
          </w:p>
        </w:tc>
        <w:tc>
          <w:tcPr>
            <w:tcW w:w="1410" w:type="pct"/>
            <w:vAlign w:val="center"/>
          </w:tcPr>
          <w:p w14:paraId="72F164AC" w14:textId="77777777" w:rsidR="002A0E40" w:rsidRPr="00040F91" w:rsidRDefault="002A0E40">
            <w:pPr>
              <w:spacing w:before="60" w:after="60" w:line="240" w:lineRule="auto"/>
              <w:jc w:val="left"/>
              <w:rPr>
                <w:sz w:val="20"/>
                <w:szCs w:val="20"/>
              </w:rPr>
            </w:pPr>
            <w:r w:rsidRPr="00040F91">
              <w:rPr>
                <w:sz w:val="20"/>
                <w:szCs w:val="20"/>
              </w:rPr>
              <w:t>Readiness phase completed</w:t>
            </w:r>
          </w:p>
        </w:tc>
      </w:tr>
      <w:tr w:rsidR="002A0E40" w:rsidRPr="00532B85" w14:paraId="7E6D37C9" w14:textId="77777777" w:rsidTr="002A0E40">
        <w:trPr>
          <w:trHeight w:val="53"/>
        </w:trPr>
        <w:tc>
          <w:tcPr>
            <w:tcW w:w="471" w:type="pct"/>
            <w:vMerge/>
          </w:tcPr>
          <w:p w14:paraId="4C4D2010"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45D3E5DF" w14:textId="77777777" w:rsidR="002A0E40" w:rsidRPr="00532B85" w:rsidRDefault="002A0E40">
            <w:pPr>
              <w:spacing w:before="60" w:after="60" w:line="240" w:lineRule="auto"/>
              <w:jc w:val="left"/>
              <w:rPr>
                <w:sz w:val="20"/>
                <w:szCs w:val="20"/>
              </w:rPr>
            </w:pPr>
            <w:r w:rsidRPr="00532B85">
              <w:rPr>
                <w:sz w:val="20"/>
                <w:szCs w:val="20"/>
              </w:rPr>
              <w:t>29</w:t>
            </w:r>
          </w:p>
        </w:tc>
        <w:tc>
          <w:tcPr>
            <w:tcW w:w="1222" w:type="pct"/>
            <w:vAlign w:val="center"/>
          </w:tcPr>
          <w:p w14:paraId="6D26709A" w14:textId="77777777" w:rsidR="002A0E40" w:rsidRPr="008D4980" w:rsidRDefault="002A0E40">
            <w:pPr>
              <w:spacing w:before="60" w:after="60" w:line="240" w:lineRule="auto"/>
              <w:jc w:val="left"/>
              <w:rPr>
                <w:b/>
                <w:sz w:val="20"/>
                <w:szCs w:val="20"/>
              </w:rPr>
            </w:pPr>
            <w:r w:rsidRPr="008D4980">
              <w:rPr>
                <w:b/>
                <w:sz w:val="20"/>
                <w:szCs w:val="20"/>
              </w:rPr>
              <w:t>Lao People's Democratic Republic</w:t>
            </w:r>
          </w:p>
        </w:tc>
        <w:tc>
          <w:tcPr>
            <w:tcW w:w="987" w:type="pct"/>
            <w:vAlign w:val="center"/>
          </w:tcPr>
          <w:p w14:paraId="76BAC6EB" w14:textId="77777777" w:rsidR="002A0E40" w:rsidRPr="00532B85" w:rsidRDefault="002A0E40">
            <w:pPr>
              <w:spacing w:before="60" w:after="60" w:line="240" w:lineRule="auto"/>
              <w:jc w:val="left"/>
              <w:rPr>
                <w:sz w:val="20"/>
                <w:szCs w:val="20"/>
              </w:rPr>
            </w:pPr>
            <w:r w:rsidRPr="00532B85">
              <w:rPr>
                <w:sz w:val="20"/>
                <w:szCs w:val="20"/>
              </w:rPr>
              <w:t xml:space="preserve">Austria-China </w:t>
            </w:r>
          </w:p>
        </w:tc>
        <w:tc>
          <w:tcPr>
            <w:tcW w:w="664" w:type="pct"/>
            <w:vAlign w:val="center"/>
          </w:tcPr>
          <w:p w14:paraId="766E12B0" w14:textId="77777777" w:rsidR="002A0E40" w:rsidRPr="00532B85" w:rsidRDefault="002A0E40">
            <w:pPr>
              <w:spacing w:before="60" w:after="60" w:line="240" w:lineRule="auto"/>
              <w:jc w:val="left"/>
              <w:rPr>
                <w:sz w:val="20"/>
                <w:szCs w:val="20"/>
              </w:rPr>
            </w:pPr>
            <w:r w:rsidRPr="00532B85">
              <w:rPr>
                <w:sz w:val="20"/>
                <w:szCs w:val="20"/>
              </w:rPr>
              <w:t>World Bank</w:t>
            </w:r>
          </w:p>
        </w:tc>
        <w:tc>
          <w:tcPr>
            <w:tcW w:w="1410" w:type="pct"/>
            <w:vAlign w:val="center"/>
          </w:tcPr>
          <w:p w14:paraId="77CFEABC" w14:textId="77777777" w:rsidR="002A0E40" w:rsidRPr="00040F91" w:rsidRDefault="002A0E40">
            <w:pPr>
              <w:spacing w:before="60" w:after="60" w:line="240" w:lineRule="auto"/>
              <w:jc w:val="left"/>
              <w:rPr>
                <w:sz w:val="20"/>
                <w:szCs w:val="20"/>
              </w:rPr>
            </w:pPr>
            <w:r w:rsidRPr="00040F91">
              <w:rPr>
                <w:sz w:val="20"/>
                <w:szCs w:val="20"/>
              </w:rPr>
              <w:t>Readiness phase completed</w:t>
            </w:r>
          </w:p>
        </w:tc>
      </w:tr>
      <w:tr w:rsidR="002A0E40" w:rsidRPr="00532B85" w14:paraId="379A8D32" w14:textId="77777777" w:rsidTr="002A0E40">
        <w:trPr>
          <w:trHeight w:val="53"/>
        </w:trPr>
        <w:tc>
          <w:tcPr>
            <w:tcW w:w="471" w:type="pct"/>
            <w:vMerge/>
          </w:tcPr>
          <w:p w14:paraId="3F022636"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5080B9C3" w14:textId="77777777" w:rsidR="002A0E40" w:rsidRPr="00532B85" w:rsidRDefault="002A0E40">
            <w:pPr>
              <w:spacing w:before="60" w:after="60" w:line="240" w:lineRule="auto"/>
              <w:jc w:val="left"/>
              <w:rPr>
                <w:sz w:val="20"/>
                <w:szCs w:val="20"/>
              </w:rPr>
            </w:pPr>
            <w:r w:rsidRPr="00532B85">
              <w:rPr>
                <w:sz w:val="20"/>
                <w:szCs w:val="20"/>
              </w:rPr>
              <w:t>30</w:t>
            </w:r>
          </w:p>
        </w:tc>
        <w:tc>
          <w:tcPr>
            <w:tcW w:w="1222" w:type="pct"/>
            <w:vAlign w:val="center"/>
          </w:tcPr>
          <w:p w14:paraId="75634700" w14:textId="77777777" w:rsidR="002A0E40" w:rsidRPr="008D4980" w:rsidRDefault="002A0E40">
            <w:pPr>
              <w:spacing w:before="60" w:after="60" w:line="240" w:lineRule="auto"/>
              <w:jc w:val="left"/>
              <w:rPr>
                <w:b/>
                <w:sz w:val="20"/>
                <w:szCs w:val="20"/>
              </w:rPr>
            </w:pPr>
            <w:r w:rsidRPr="008D4980">
              <w:rPr>
                <w:b/>
                <w:sz w:val="20"/>
                <w:szCs w:val="20"/>
              </w:rPr>
              <w:t>Nauru</w:t>
            </w:r>
          </w:p>
        </w:tc>
        <w:tc>
          <w:tcPr>
            <w:tcW w:w="987" w:type="pct"/>
            <w:vAlign w:val="center"/>
          </w:tcPr>
          <w:p w14:paraId="7CA7D10B" w14:textId="77777777" w:rsidR="002A0E40" w:rsidRPr="00532B85" w:rsidRDefault="002A0E40">
            <w:pPr>
              <w:spacing w:before="60" w:after="60" w:line="240" w:lineRule="auto"/>
              <w:jc w:val="left"/>
              <w:rPr>
                <w:sz w:val="20"/>
                <w:szCs w:val="20"/>
              </w:rPr>
            </w:pPr>
            <w:r w:rsidRPr="00532B85">
              <w:rPr>
                <w:sz w:val="20"/>
                <w:szCs w:val="20"/>
              </w:rPr>
              <w:t>Australia</w:t>
            </w:r>
          </w:p>
        </w:tc>
        <w:tc>
          <w:tcPr>
            <w:tcW w:w="664" w:type="pct"/>
            <w:vAlign w:val="center"/>
          </w:tcPr>
          <w:p w14:paraId="4D0B918D" w14:textId="77777777" w:rsidR="002A0E40" w:rsidRPr="00532B85" w:rsidRDefault="002A0E40">
            <w:pPr>
              <w:spacing w:before="60" w:after="60" w:line="240" w:lineRule="auto"/>
              <w:jc w:val="left"/>
              <w:rPr>
                <w:sz w:val="20"/>
                <w:szCs w:val="20"/>
              </w:rPr>
            </w:pPr>
            <w:r w:rsidRPr="00532B85">
              <w:rPr>
                <w:sz w:val="20"/>
                <w:szCs w:val="20"/>
              </w:rPr>
              <w:t>UNEP</w:t>
            </w:r>
          </w:p>
        </w:tc>
        <w:tc>
          <w:tcPr>
            <w:tcW w:w="1410" w:type="pct"/>
            <w:vAlign w:val="center"/>
          </w:tcPr>
          <w:p w14:paraId="4FDBA01E" w14:textId="77777777" w:rsidR="002A0E40" w:rsidRPr="00040F91" w:rsidRDefault="002A0E40">
            <w:pPr>
              <w:spacing w:before="60" w:after="60" w:line="240" w:lineRule="auto"/>
              <w:jc w:val="left"/>
              <w:rPr>
                <w:sz w:val="20"/>
                <w:szCs w:val="20"/>
              </w:rPr>
            </w:pPr>
            <w:r w:rsidRPr="00040F91">
              <w:rPr>
                <w:sz w:val="20"/>
                <w:szCs w:val="20"/>
              </w:rPr>
              <w:t>Investment funding request conditionally approved</w:t>
            </w:r>
          </w:p>
        </w:tc>
      </w:tr>
      <w:tr w:rsidR="002A0E40" w:rsidRPr="00532B85" w14:paraId="4418AFCA" w14:textId="77777777" w:rsidTr="002A0E40">
        <w:trPr>
          <w:trHeight w:val="53"/>
        </w:trPr>
        <w:tc>
          <w:tcPr>
            <w:tcW w:w="471" w:type="pct"/>
            <w:vMerge/>
          </w:tcPr>
          <w:p w14:paraId="3F277907"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685ACE6B" w14:textId="77777777" w:rsidR="002A0E40" w:rsidRPr="00532B85" w:rsidRDefault="002A0E40">
            <w:pPr>
              <w:spacing w:before="60" w:after="60" w:line="240" w:lineRule="auto"/>
              <w:jc w:val="left"/>
              <w:rPr>
                <w:sz w:val="20"/>
                <w:szCs w:val="20"/>
              </w:rPr>
            </w:pPr>
            <w:r w:rsidRPr="00532B85">
              <w:rPr>
                <w:sz w:val="20"/>
                <w:szCs w:val="20"/>
              </w:rPr>
              <w:t>31</w:t>
            </w:r>
          </w:p>
        </w:tc>
        <w:tc>
          <w:tcPr>
            <w:tcW w:w="1222" w:type="pct"/>
            <w:vAlign w:val="center"/>
          </w:tcPr>
          <w:p w14:paraId="7EADC6A5" w14:textId="77777777" w:rsidR="002A0E40" w:rsidRPr="008D4980" w:rsidRDefault="002A0E40">
            <w:pPr>
              <w:spacing w:before="60" w:after="60" w:line="240" w:lineRule="auto"/>
              <w:jc w:val="left"/>
              <w:rPr>
                <w:b/>
                <w:sz w:val="20"/>
                <w:szCs w:val="20"/>
              </w:rPr>
            </w:pPr>
            <w:r w:rsidRPr="008D4980">
              <w:rPr>
                <w:b/>
                <w:sz w:val="20"/>
                <w:szCs w:val="20"/>
              </w:rPr>
              <w:t>Papua New Guinea</w:t>
            </w:r>
          </w:p>
        </w:tc>
        <w:tc>
          <w:tcPr>
            <w:tcW w:w="987" w:type="pct"/>
            <w:vAlign w:val="center"/>
          </w:tcPr>
          <w:p w14:paraId="6BAA97BB" w14:textId="77777777" w:rsidR="002A0E40" w:rsidRPr="00532B85" w:rsidRDefault="002A0E40">
            <w:pPr>
              <w:spacing w:before="60" w:after="60" w:line="240" w:lineRule="auto"/>
              <w:jc w:val="left"/>
              <w:rPr>
                <w:sz w:val="20"/>
                <w:szCs w:val="20"/>
              </w:rPr>
            </w:pPr>
            <w:r w:rsidRPr="00532B85">
              <w:rPr>
                <w:sz w:val="20"/>
                <w:szCs w:val="20"/>
              </w:rPr>
              <w:t>Australia</w:t>
            </w:r>
          </w:p>
        </w:tc>
        <w:tc>
          <w:tcPr>
            <w:tcW w:w="664" w:type="pct"/>
            <w:vAlign w:val="center"/>
          </w:tcPr>
          <w:p w14:paraId="0A8BE170" w14:textId="77777777" w:rsidR="002A0E40" w:rsidRPr="00532B85" w:rsidRDefault="002A0E40">
            <w:pPr>
              <w:spacing w:before="60" w:after="60" w:line="240" w:lineRule="auto"/>
              <w:jc w:val="left"/>
              <w:rPr>
                <w:sz w:val="20"/>
                <w:szCs w:val="20"/>
              </w:rPr>
            </w:pPr>
            <w:r w:rsidRPr="00532B85">
              <w:rPr>
                <w:sz w:val="20"/>
                <w:szCs w:val="20"/>
              </w:rPr>
              <w:t>UNDP</w:t>
            </w:r>
          </w:p>
        </w:tc>
        <w:tc>
          <w:tcPr>
            <w:tcW w:w="1410" w:type="pct"/>
            <w:vAlign w:val="center"/>
          </w:tcPr>
          <w:p w14:paraId="33544CF2" w14:textId="77777777" w:rsidR="002A0E40" w:rsidRPr="00040F91" w:rsidRDefault="002A0E40">
            <w:pPr>
              <w:spacing w:before="60" w:after="60" w:line="240" w:lineRule="auto"/>
              <w:jc w:val="left"/>
              <w:rPr>
                <w:sz w:val="20"/>
                <w:szCs w:val="20"/>
              </w:rPr>
            </w:pPr>
            <w:r w:rsidRPr="00040F91">
              <w:rPr>
                <w:sz w:val="20"/>
                <w:szCs w:val="20"/>
              </w:rPr>
              <w:t>Readiness phase completed</w:t>
            </w:r>
          </w:p>
        </w:tc>
      </w:tr>
      <w:tr w:rsidR="002A0E40" w:rsidRPr="00532B85" w14:paraId="3E6FBA9B" w14:textId="77777777" w:rsidTr="002A0E40">
        <w:trPr>
          <w:trHeight w:val="53"/>
        </w:trPr>
        <w:tc>
          <w:tcPr>
            <w:tcW w:w="471" w:type="pct"/>
            <w:vMerge/>
          </w:tcPr>
          <w:p w14:paraId="021CA3FD"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1FCBDEF4" w14:textId="77777777" w:rsidR="002A0E40" w:rsidRPr="00532B85" w:rsidRDefault="002A0E40">
            <w:pPr>
              <w:spacing w:before="60" w:after="60" w:line="240" w:lineRule="auto"/>
              <w:jc w:val="left"/>
              <w:rPr>
                <w:sz w:val="20"/>
                <w:szCs w:val="20"/>
              </w:rPr>
            </w:pPr>
            <w:r w:rsidRPr="00532B85">
              <w:rPr>
                <w:sz w:val="20"/>
                <w:szCs w:val="20"/>
              </w:rPr>
              <w:t>32</w:t>
            </w:r>
          </w:p>
        </w:tc>
        <w:tc>
          <w:tcPr>
            <w:tcW w:w="1222" w:type="pct"/>
            <w:vAlign w:val="center"/>
          </w:tcPr>
          <w:p w14:paraId="6B34F967" w14:textId="77777777" w:rsidR="002A0E40" w:rsidRPr="008D4980" w:rsidRDefault="002A0E40">
            <w:pPr>
              <w:spacing w:before="60" w:after="60" w:line="240" w:lineRule="auto"/>
              <w:jc w:val="left"/>
              <w:rPr>
                <w:b/>
                <w:sz w:val="20"/>
                <w:szCs w:val="20"/>
              </w:rPr>
            </w:pPr>
            <w:r w:rsidRPr="008D4980">
              <w:rPr>
                <w:b/>
                <w:sz w:val="20"/>
                <w:szCs w:val="20"/>
              </w:rPr>
              <w:t>Sao Tome and Principe</w:t>
            </w:r>
          </w:p>
        </w:tc>
        <w:tc>
          <w:tcPr>
            <w:tcW w:w="987" w:type="pct"/>
            <w:vAlign w:val="center"/>
          </w:tcPr>
          <w:p w14:paraId="6A50CF30" w14:textId="77777777" w:rsidR="002A0E40" w:rsidRPr="00532B85" w:rsidRDefault="002A0E40">
            <w:pPr>
              <w:spacing w:before="60" w:after="60" w:line="240" w:lineRule="auto"/>
              <w:jc w:val="left"/>
              <w:rPr>
                <w:sz w:val="20"/>
                <w:szCs w:val="20"/>
              </w:rPr>
            </w:pPr>
            <w:r w:rsidRPr="00532B85">
              <w:rPr>
                <w:sz w:val="20"/>
                <w:szCs w:val="20"/>
              </w:rPr>
              <w:t>Netherlands</w:t>
            </w:r>
          </w:p>
        </w:tc>
        <w:tc>
          <w:tcPr>
            <w:tcW w:w="664" w:type="pct"/>
            <w:vAlign w:val="center"/>
          </w:tcPr>
          <w:p w14:paraId="39295E7F" w14:textId="77777777" w:rsidR="002A0E40" w:rsidRPr="00532B85" w:rsidRDefault="002A0E40">
            <w:pPr>
              <w:spacing w:before="60" w:after="60" w:line="240" w:lineRule="auto"/>
              <w:jc w:val="left"/>
              <w:rPr>
                <w:sz w:val="20"/>
                <w:szCs w:val="20"/>
              </w:rPr>
            </w:pPr>
            <w:r w:rsidRPr="00532B85">
              <w:rPr>
                <w:sz w:val="20"/>
                <w:szCs w:val="20"/>
              </w:rPr>
              <w:t>UNDP</w:t>
            </w:r>
          </w:p>
        </w:tc>
        <w:tc>
          <w:tcPr>
            <w:tcW w:w="1410" w:type="pct"/>
            <w:vAlign w:val="center"/>
          </w:tcPr>
          <w:p w14:paraId="031B03DC" w14:textId="09456229" w:rsidR="002A0E40" w:rsidRPr="00040F91" w:rsidRDefault="002A0E40">
            <w:pPr>
              <w:spacing w:before="60" w:after="60" w:line="240" w:lineRule="auto"/>
              <w:jc w:val="left"/>
              <w:rPr>
                <w:sz w:val="20"/>
                <w:szCs w:val="20"/>
              </w:rPr>
            </w:pPr>
            <w:r w:rsidRPr="00040F91">
              <w:rPr>
                <w:sz w:val="20"/>
                <w:szCs w:val="20"/>
              </w:rPr>
              <w:t>Investment phase pipeline</w:t>
            </w:r>
          </w:p>
        </w:tc>
      </w:tr>
      <w:tr w:rsidR="002A0E40" w:rsidRPr="00532B85" w14:paraId="535C960C" w14:textId="77777777" w:rsidTr="002A0E40">
        <w:trPr>
          <w:trHeight w:val="53"/>
        </w:trPr>
        <w:tc>
          <w:tcPr>
            <w:tcW w:w="471" w:type="pct"/>
            <w:vMerge/>
          </w:tcPr>
          <w:p w14:paraId="5F56A22D"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19988F56" w14:textId="77777777" w:rsidR="002A0E40" w:rsidRPr="00532B85" w:rsidRDefault="002A0E40">
            <w:pPr>
              <w:spacing w:before="60" w:after="60" w:line="240" w:lineRule="auto"/>
              <w:jc w:val="left"/>
              <w:rPr>
                <w:sz w:val="20"/>
                <w:szCs w:val="20"/>
              </w:rPr>
            </w:pPr>
            <w:r w:rsidRPr="00532B85">
              <w:rPr>
                <w:sz w:val="20"/>
                <w:szCs w:val="20"/>
              </w:rPr>
              <w:t>33</w:t>
            </w:r>
          </w:p>
        </w:tc>
        <w:tc>
          <w:tcPr>
            <w:tcW w:w="1222" w:type="pct"/>
            <w:vAlign w:val="center"/>
          </w:tcPr>
          <w:p w14:paraId="0CBF9ACE" w14:textId="77777777" w:rsidR="002A0E40" w:rsidRPr="008D4980" w:rsidRDefault="002A0E40">
            <w:pPr>
              <w:spacing w:before="60" w:after="60" w:line="240" w:lineRule="auto"/>
              <w:jc w:val="left"/>
              <w:rPr>
                <w:b/>
                <w:sz w:val="20"/>
                <w:szCs w:val="20"/>
              </w:rPr>
            </w:pPr>
            <w:r w:rsidRPr="008D4980">
              <w:rPr>
                <w:b/>
                <w:sz w:val="20"/>
                <w:szCs w:val="20"/>
              </w:rPr>
              <w:t>Tonga</w:t>
            </w:r>
          </w:p>
        </w:tc>
        <w:tc>
          <w:tcPr>
            <w:tcW w:w="987" w:type="pct"/>
            <w:vAlign w:val="center"/>
          </w:tcPr>
          <w:p w14:paraId="2DA28C08" w14:textId="77777777" w:rsidR="002A0E40" w:rsidRPr="00532B85" w:rsidRDefault="002A0E40">
            <w:pPr>
              <w:spacing w:before="60" w:after="60" w:line="240" w:lineRule="auto"/>
              <w:jc w:val="left"/>
              <w:rPr>
                <w:sz w:val="20"/>
                <w:szCs w:val="20"/>
              </w:rPr>
            </w:pPr>
            <w:r w:rsidRPr="00532B85">
              <w:rPr>
                <w:sz w:val="20"/>
                <w:szCs w:val="20"/>
              </w:rPr>
              <w:t>New Zealand</w:t>
            </w:r>
          </w:p>
        </w:tc>
        <w:tc>
          <w:tcPr>
            <w:tcW w:w="664" w:type="pct"/>
            <w:vAlign w:val="center"/>
          </w:tcPr>
          <w:p w14:paraId="4FE2D56A" w14:textId="77777777" w:rsidR="002A0E40" w:rsidRPr="00532B85" w:rsidRDefault="002A0E40">
            <w:pPr>
              <w:spacing w:before="60" w:after="60" w:line="240" w:lineRule="auto"/>
              <w:jc w:val="left"/>
              <w:rPr>
                <w:sz w:val="20"/>
                <w:szCs w:val="20"/>
              </w:rPr>
            </w:pPr>
            <w:r w:rsidRPr="00532B85">
              <w:rPr>
                <w:sz w:val="20"/>
                <w:szCs w:val="20"/>
              </w:rPr>
              <w:t>World Bank</w:t>
            </w:r>
          </w:p>
        </w:tc>
        <w:tc>
          <w:tcPr>
            <w:tcW w:w="1410" w:type="pct"/>
            <w:vAlign w:val="center"/>
          </w:tcPr>
          <w:p w14:paraId="4C221A6D" w14:textId="77777777" w:rsidR="002A0E40" w:rsidRPr="00040F91" w:rsidRDefault="002A0E40">
            <w:pPr>
              <w:spacing w:before="60" w:after="60" w:line="240" w:lineRule="auto"/>
              <w:jc w:val="left"/>
              <w:rPr>
                <w:sz w:val="20"/>
                <w:szCs w:val="20"/>
              </w:rPr>
            </w:pPr>
            <w:r w:rsidRPr="00040F91">
              <w:rPr>
                <w:sz w:val="20"/>
                <w:szCs w:val="20"/>
              </w:rPr>
              <w:t>Readiness phase ongoing</w:t>
            </w:r>
          </w:p>
        </w:tc>
      </w:tr>
      <w:tr w:rsidR="002A0E40" w:rsidRPr="00532B85" w14:paraId="5D0C4F48" w14:textId="77777777" w:rsidTr="002A0E40">
        <w:trPr>
          <w:trHeight w:val="53"/>
        </w:trPr>
        <w:tc>
          <w:tcPr>
            <w:tcW w:w="471" w:type="pct"/>
            <w:vMerge/>
          </w:tcPr>
          <w:p w14:paraId="21F52B05"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55801E6E" w14:textId="77777777" w:rsidR="002A0E40" w:rsidRPr="00532B85" w:rsidRDefault="002A0E40">
            <w:pPr>
              <w:spacing w:before="60" w:after="60" w:line="240" w:lineRule="auto"/>
              <w:jc w:val="left"/>
              <w:rPr>
                <w:sz w:val="20"/>
                <w:szCs w:val="20"/>
              </w:rPr>
            </w:pPr>
            <w:r w:rsidRPr="00532B85">
              <w:rPr>
                <w:sz w:val="20"/>
                <w:szCs w:val="20"/>
              </w:rPr>
              <w:t>34</w:t>
            </w:r>
          </w:p>
        </w:tc>
        <w:tc>
          <w:tcPr>
            <w:tcW w:w="1222" w:type="pct"/>
            <w:vAlign w:val="center"/>
          </w:tcPr>
          <w:p w14:paraId="2F1C43F8" w14:textId="77777777" w:rsidR="002A0E40" w:rsidRPr="008D4980" w:rsidRDefault="002A0E40">
            <w:pPr>
              <w:spacing w:before="60" w:after="60" w:line="240" w:lineRule="auto"/>
              <w:jc w:val="left"/>
              <w:rPr>
                <w:b/>
                <w:sz w:val="20"/>
                <w:szCs w:val="20"/>
              </w:rPr>
            </w:pPr>
            <w:r w:rsidRPr="008D4980">
              <w:rPr>
                <w:b/>
                <w:sz w:val="20"/>
                <w:szCs w:val="20"/>
              </w:rPr>
              <w:t>Uganda</w:t>
            </w:r>
          </w:p>
        </w:tc>
        <w:tc>
          <w:tcPr>
            <w:tcW w:w="987" w:type="pct"/>
            <w:vAlign w:val="center"/>
          </w:tcPr>
          <w:p w14:paraId="6A684B0C" w14:textId="77777777" w:rsidR="002A0E40" w:rsidRPr="00532B85" w:rsidRDefault="002A0E40">
            <w:pPr>
              <w:spacing w:before="60" w:after="60" w:line="240" w:lineRule="auto"/>
              <w:jc w:val="left"/>
              <w:rPr>
                <w:sz w:val="20"/>
                <w:szCs w:val="20"/>
              </w:rPr>
            </w:pPr>
            <w:r w:rsidRPr="00532B85">
              <w:rPr>
                <w:sz w:val="20"/>
                <w:szCs w:val="20"/>
              </w:rPr>
              <w:t>Netherlands</w:t>
            </w:r>
          </w:p>
        </w:tc>
        <w:tc>
          <w:tcPr>
            <w:tcW w:w="664" w:type="pct"/>
            <w:vAlign w:val="center"/>
          </w:tcPr>
          <w:p w14:paraId="3E13EFEA" w14:textId="77777777" w:rsidR="002A0E40" w:rsidRPr="00532B85" w:rsidRDefault="002A0E40">
            <w:pPr>
              <w:spacing w:before="60" w:after="60" w:line="240" w:lineRule="auto"/>
              <w:jc w:val="left"/>
              <w:rPr>
                <w:sz w:val="20"/>
                <w:szCs w:val="20"/>
              </w:rPr>
            </w:pPr>
            <w:r w:rsidRPr="00532B85">
              <w:rPr>
                <w:sz w:val="20"/>
                <w:szCs w:val="20"/>
              </w:rPr>
              <w:t>IsDB</w:t>
            </w:r>
          </w:p>
        </w:tc>
        <w:tc>
          <w:tcPr>
            <w:tcW w:w="1410" w:type="pct"/>
            <w:vAlign w:val="center"/>
          </w:tcPr>
          <w:p w14:paraId="1DE7B4B5" w14:textId="77777777" w:rsidR="002A0E40" w:rsidRPr="00040F91" w:rsidRDefault="002A0E40">
            <w:pPr>
              <w:spacing w:before="60" w:after="60" w:line="240" w:lineRule="auto"/>
              <w:jc w:val="left"/>
              <w:rPr>
                <w:sz w:val="20"/>
                <w:szCs w:val="20"/>
              </w:rPr>
            </w:pPr>
            <w:r w:rsidRPr="00040F91">
              <w:rPr>
                <w:sz w:val="20"/>
                <w:szCs w:val="20"/>
              </w:rPr>
              <w:t>Investment phase</w:t>
            </w:r>
          </w:p>
        </w:tc>
      </w:tr>
      <w:tr w:rsidR="002A0E40" w:rsidRPr="00532B85" w14:paraId="7023BE8F" w14:textId="77777777" w:rsidTr="002A0E40">
        <w:trPr>
          <w:trHeight w:val="53"/>
        </w:trPr>
        <w:tc>
          <w:tcPr>
            <w:tcW w:w="471" w:type="pct"/>
            <w:vMerge/>
          </w:tcPr>
          <w:p w14:paraId="3C4A5A98"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0B82401B" w14:textId="77777777" w:rsidR="002A0E40" w:rsidRPr="00532B85" w:rsidRDefault="002A0E40">
            <w:pPr>
              <w:spacing w:before="60" w:after="60" w:line="240" w:lineRule="auto"/>
              <w:jc w:val="left"/>
              <w:rPr>
                <w:sz w:val="20"/>
                <w:szCs w:val="20"/>
              </w:rPr>
            </w:pPr>
            <w:r w:rsidRPr="00532B85">
              <w:rPr>
                <w:sz w:val="20"/>
                <w:szCs w:val="20"/>
              </w:rPr>
              <w:t>35</w:t>
            </w:r>
          </w:p>
        </w:tc>
        <w:tc>
          <w:tcPr>
            <w:tcW w:w="1222" w:type="pct"/>
            <w:vAlign w:val="center"/>
          </w:tcPr>
          <w:p w14:paraId="1EE1F8D8" w14:textId="77777777" w:rsidR="002A0E40" w:rsidRPr="008D4980" w:rsidRDefault="002A0E40">
            <w:pPr>
              <w:spacing w:before="60" w:after="60" w:line="240" w:lineRule="auto"/>
              <w:jc w:val="left"/>
              <w:rPr>
                <w:b/>
                <w:sz w:val="20"/>
                <w:szCs w:val="20"/>
              </w:rPr>
            </w:pPr>
            <w:r w:rsidRPr="008D4980">
              <w:rPr>
                <w:b/>
                <w:sz w:val="20"/>
                <w:szCs w:val="20"/>
              </w:rPr>
              <w:t>Vanuatu</w:t>
            </w:r>
          </w:p>
        </w:tc>
        <w:tc>
          <w:tcPr>
            <w:tcW w:w="987" w:type="pct"/>
            <w:vAlign w:val="center"/>
          </w:tcPr>
          <w:p w14:paraId="5E143050" w14:textId="77777777" w:rsidR="002A0E40" w:rsidRPr="00532B85" w:rsidRDefault="002A0E40">
            <w:pPr>
              <w:spacing w:before="60" w:after="60" w:line="240" w:lineRule="auto"/>
              <w:jc w:val="left"/>
              <w:rPr>
                <w:sz w:val="20"/>
                <w:szCs w:val="20"/>
              </w:rPr>
            </w:pPr>
            <w:r w:rsidRPr="00532B85">
              <w:rPr>
                <w:sz w:val="20"/>
                <w:szCs w:val="20"/>
              </w:rPr>
              <w:t>New Zealand</w:t>
            </w:r>
          </w:p>
        </w:tc>
        <w:tc>
          <w:tcPr>
            <w:tcW w:w="664" w:type="pct"/>
            <w:vAlign w:val="center"/>
          </w:tcPr>
          <w:p w14:paraId="478E4F98" w14:textId="77777777" w:rsidR="002A0E40" w:rsidRPr="00532B85" w:rsidRDefault="002A0E40">
            <w:pPr>
              <w:spacing w:before="60" w:after="60" w:line="240" w:lineRule="auto"/>
              <w:jc w:val="left"/>
              <w:rPr>
                <w:sz w:val="20"/>
                <w:szCs w:val="20"/>
              </w:rPr>
            </w:pPr>
            <w:r w:rsidRPr="00532B85">
              <w:rPr>
                <w:sz w:val="20"/>
                <w:szCs w:val="20"/>
              </w:rPr>
              <w:t>World Bank</w:t>
            </w:r>
          </w:p>
        </w:tc>
        <w:tc>
          <w:tcPr>
            <w:tcW w:w="1410" w:type="pct"/>
            <w:vAlign w:val="center"/>
          </w:tcPr>
          <w:p w14:paraId="39904E97" w14:textId="77777777" w:rsidR="002A0E40" w:rsidRPr="00040F91" w:rsidRDefault="002A0E40">
            <w:pPr>
              <w:spacing w:before="60" w:after="60" w:line="240" w:lineRule="auto"/>
              <w:jc w:val="left"/>
              <w:rPr>
                <w:sz w:val="20"/>
                <w:szCs w:val="20"/>
              </w:rPr>
            </w:pPr>
            <w:r w:rsidRPr="00040F91">
              <w:rPr>
                <w:sz w:val="20"/>
                <w:szCs w:val="20"/>
              </w:rPr>
              <w:t>Readiness phase ongoing</w:t>
            </w:r>
          </w:p>
        </w:tc>
      </w:tr>
      <w:tr w:rsidR="002A0E40" w:rsidRPr="00532B85" w14:paraId="0075C29F" w14:textId="77777777" w:rsidTr="002A0E40">
        <w:trPr>
          <w:trHeight w:val="53"/>
        </w:trPr>
        <w:tc>
          <w:tcPr>
            <w:tcW w:w="471" w:type="pct"/>
            <w:vMerge/>
            <w:shd w:val="clear" w:color="auto" w:fill="87A8D6" w:themeFill="accent1" w:themeFillTint="66"/>
          </w:tcPr>
          <w:p w14:paraId="26526DA2" w14:textId="77777777" w:rsidR="002A0E40" w:rsidRPr="002A0E40" w:rsidRDefault="002A0E40">
            <w:pPr>
              <w:spacing w:before="60" w:after="60" w:line="240" w:lineRule="auto"/>
              <w:jc w:val="left"/>
              <w:rPr>
                <w:sz w:val="20"/>
                <w:szCs w:val="20"/>
                <w:highlight w:val="yellow"/>
              </w:rPr>
            </w:pPr>
          </w:p>
        </w:tc>
        <w:tc>
          <w:tcPr>
            <w:tcW w:w="247" w:type="pct"/>
            <w:shd w:val="clear" w:color="auto" w:fill="87A8D6" w:themeFill="accent1" w:themeFillTint="66"/>
            <w:vAlign w:val="center"/>
          </w:tcPr>
          <w:p w14:paraId="4344B917" w14:textId="77777777" w:rsidR="002A0E40" w:rsidRPr="00532B85" w:rsidRDefault="002A0E40">
            <w:pPr>
              <w:spacing w:before="60" w:after="60" w:line="240" w:lineRule="auto"/>
              <w:jc w:val="left"/>
              <w:rPr>
                <w:sz w:val="20"/>
                <w:szCs w:val="20"/>
              </w:rPr>
            </w:pPr>
            <w:r w:rsidRPr="00532B85">
              <w:rPr>
                <w:sz w:val="20"/>
                <w:szCs w:val="20"/>
              </w:rPr>
              <w:t>36</w:t>
            </w:r>
          </w:p>
        </w:tc>
        <w:tc>
          <w:tcPr>
            <w:tcW w:w="1222" w:type="pct"/>
            <w:vAlign w:val="center"/>
          </w:tcPr>
          <w:p w14:paraId="3E7D8E02" w14:textId="77777777" w:rsidR="002A0E40" w:rsidRPr="008D4980" w:rsidRDefault="002A0E40">
            <w:pPr>
              <w:spacing w:before="60" w:after="60" w:line="240" w:lineRule="auto"/>
              <w:jc w:val="left"/>
              <w:rPr>
                <w:b/>
                <w:sz w:val="20"/>
                <w:szCs w:val="20"/>
              </w:rPr>
            </w:pPr>
            <w:r w:rsidRPr="008D4980">
              <w:rPr>
                <w:b/>
                <w:sz w:val="20"/>
                <w:szCs w:val="20"/>
              </w:rPr>
              <w:t>Zambia</w:t>
            </w:r>
          </w:p>
        </w:tc>
        <w:tc>
          <w:tcPr>
            <w:tcW w:w="987" w:type="pct"/>
            <w:vAlign w:val="center"/>
          </w:tcPr>
          <w:p w14:paraId="71BDB6B8" w14:textId="77777777" w:rsidR="002A0E40" w:rsidRPr="00532B85" w:rsidRDefault="002A0E40">
            <w:pPr>
              <w:spacing w:before="60" w:after="60" w:line="240" w:lineRule="auto"/>
              <w:jc w:val="left"/>
              <w:rPr>
                <w:sz w:val="20"/>
                <w:szCs w:val="20"/>
              </w:rPr>
            </w:pPr>
            <w:r w:rsidRPr="00532B85">
              <w:rPr>
                <w:sz w:val="20"/>
                <w:szCs w:val="20"/>
              </w:rPr>
              <w:t>United Kingdom</w:t>
            </w:r>
          </w:p>
        </w:tc>
        <w:tc>
          <w:tcPr>
            <w:tcW w:w="664" w:type="pct"/>
            <w:vAlign w:val="center"/>
          </w:tcPr>
          <w:p w14:paraId="1617A270" w14:textId="77777777" w:rsidR="002A0E40" w:rsidRPr="00532B85" w:rsidRDefault="002A0E40">
            <w:pPr>
              <w:spacing w:before="60" w:after="60" w:line="240" w:lineRule="auto"/>
              <w:jc w:val="left"/>
              <w:rPr>
                <w:sz w:val="20"/>
                <w:szCs w:val="20"/>
              </w:rPr>
            </w:pPr>
            <w:r w:rsidRPr="00532B85">
              <w:rPr>
                <w:sz w:val="20"/>
                <w:szCs w:val="20"/>
              </w:rPr>
              <w:t>WFP</w:t>
            </w:r>
          </w:p>
        </w:tc>
        <w:tc>
          <w:tcPr>
            <w:tcW w:w="1410" w:type="pct"/>
            <w:vAlign w:val="center"/>
          </w:tcPr>
          <w:p w14:paraId="23BF6440" w14:textId="65E6C499" w:rsidR="002A0E40" w:rsidRPr="00040F91" w:rsidRDefault="002A0E40">
            <w:pPr>
              <w:spacing w:before="60" w:after="60" w:line="240" w:lineRule="auto"/>
              <w:jc w:val="left"/>
              <w:rPr>
                <w:sz w:val="20"/>
                <w:szCs w:val="20"/>
                <w:lang w:eastAsia="ko-KR"/>
              </w:rPr>
            </w:pPr>
            <w:r w:rsidRPr="00040F91">
              <w:rPr>
                <w:sz w:val="20"/>
                <w:szCs w:val="20"/>
              </w:rPr>
              <w:t>Investment phase pipeline</w:t>
            </w:r>
          </w:p>
        </w:tc>
      </w:tr>
      <w:tr w:rsidR="00690701" w:rsidRPr="00532B85" w14:paraId="2D4D482E" w14:textId="77777777" w:rsidTr="002A0E40">
        <w:trPr>
          <w:trHeight w:val="53"/>
        </w:trPr>
        <w:tc>
          <w:tcPr>
            <w:tcW w:w="471" w:type="pct"/>
            <w:vMerge w:val="restart"/>
            <w:shd w:val="clear" w:color="auto" w:fill="C3D3EA" w:themeFill="accent1" w:themeFillTint="33"/>
          </w:tcPr>
          <w:p w14:paraId="40B7F94C" w14:textId="77777777" w:rsidR="00690701" w:rsidRPr="00532B85" w:rsidRDefault="00690701">
            <w:pPr>
              <w:spacing w:before="60" w:after="60" w:line="240" w:lineRule="auto"/>
              <w:jc w:val="left"/>
              <w:rPr>
                <w:sz w:val="20"/>
                <w:szCs w:val="20"/>
              </w:rPr>
            </w:pPr>
            <w:r w:rsidRPr="00D56BB1">
              <w:rPr>
                <w:b/>
                <w:bCs/>
                <w:sz w:val="20"/>
                <w:szCs w:val="20"/>
              </w:rPr>
              <w:lastRenderedPageBreak/>
              <w:t xml:space="preserve">Batch </w:t>
            </w:r>
            <w:r>
              <w:rPr>
                <w:rFonts w:hint="eastAsia"/>
                <w:b/>
                <w:bCs/>
                <w:sz w:val="20"/>
                <w:szCs w:val="20"/>
                <w:lang w:eastAsia="ko-KR"/>
              </w:rPr>
              <w:t>3</w:t>
            </w:r>
          </w:p>
        </w:tc>
        <w:tc>
          <w:tcPr>
            <w:tcW w:w="247" w:type="pct"/>
            <w:shd w:val="clear" w:color="auto" w:fill="C3D3EA" w:themeFill="accent1" w:themeFillTint="33"/>
            <w:vAlign w:val="center"/>
          </w:tcPr>
          <w:p w14:paraId="6CE3A08A" w14:textId="77777777" w:rsidR="00690701" w:rsidRPr="00532B85" w:rsidRDefault="00690701">
            <w:pPr>
              <w:spacing w:before="60" w:after="60" w:line="240" w:lineRule="auto"/>
              <w:jc w:val="left"/>
              <w:rPr>
                <w:sz w:val="20"/>
                <w:szCs w:val="20"/>
              </w:rPr>
            </w:pPr>
            <w:r w:rsidRPr="00532B85">
              <w:rPr>
                <w:sz w:val="20"/>
                <w:szCs w:val="20"/>
              </w:rPr>
              <w:t>37</w:t>
            </w:r>
          </w:p>
        </w:tc>
        <w:tc>
          <w:tcPr>
            <w:tcW w:w="1222" w:type="pct"/>
            <w:vAlign w:val="center"/>
          </w:tcPr>
          <w:p w14:paraId="7392C1D2" w14:textId="77777777" w:rsidR="00690701" w:rsidRPr="008D4980" w:rsidRDefault="00690701">
            <w:pPr>
              <w:spacing w:before="60" w:after="60" w:line="240" w:lineRule="auto"/>
              <w:jc w:val="left"/>
              <w:rPr>
                <w:b/>
                <w:sz w:val="20"/>
                <w:szCs w:val="20"/>
              </w:rPr>
            </w:pPr>
            <w:r w:rsidRPr="008D4980">
              <w:rPr>
                <w:b/>
                <w:sz w:val="20"/>
                <w:szCs w:val="20"/>
              </w:rPr>
              <w:t>Antigua and Barbuda</w:t>
            </w:r>
          </w:p>
        </w:tc>
        <w:tc>
          <w:tcPr>
            <w:tcW w:w="987" w:type="pct"/>
            <w:vAlign w:val="center"/>
          </w:tcPr>
          <w:p w14:paraId="60228083" w14:textId="77777777" w:rsidR="00690701" w:rsidRPr="00532B85" w:rsidRDefault="00690701">
            <w:pPr>
              <w:spacing w:before="60" w:after="60" w:line="240" w:lineRule="auto"/>
              <w:jc w:val="left"/>
              <w:rPr>
                <w:sz w:val="20"/>
                <w:szCs w:val="20"/>
              </w:rPr>
            </w:pPr>
            <w:r w:rsidRPr="00532B85">
              <w:rPr>
                <w:sz w:val="20"/>
                <w:szCs w:val="20"/>
              </w:rPr>
              <w:t>United Kingdom</w:t>
            </w:r>
          </w:p>
        </w:tc>
        <w:tc>
          <w:tcPr>
            <w:tcW w:w="664" w:type="pct"/>
            <w:vAlign w:val="center"/>
          </w:tcPr>
          <w:p w14:paraId="26A8F8BC"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3B5B014A" w14:textId="2F0ABE51" w:rsidR="00690701" w:rsidRPr="00040F91" w:rsidRDefault="00B71F0A">
            <w:pPr>
              <w:spacing w:before="60" w:after="60" w:line="240" w:lineRule="auto"/>
              <w:jc w:val="left"/>
              <w:rPr>
                <w:sz w:val="20"/>
                <w:szCs w:val="20"/>
              </w:rPr>
            </w:pPr>
            <w:r w:rsidRPr="00040F91">
              <w:rPr>
                <w:sz w:val="20"/>
                <w:szCs w:val="20"/>
              </w:rPr>
              <w:t xml:space="preserve">Investment funding request </w:t>
            </w:r>
            <w:r>
              <w:rPr>
                <w:sz w:val="20"/>
                <w:szCs w:val="20"/>
              </w:rPr>
              <w:t>to be considered for pipeline</w:t>
            </w:r>
          </w:p>
        </w:tc>
      </w:tr>
      <w:tr w:rsidR="00690701" w:rsidRPr="00532B85" w14:paraId="373BA859" w14:textId="77777777" w:rsidTr="002A0E40">
        <w:trPr>
          <w:trHeight w:val="53"/>
        </w:trPr>
        <w:tc>
          <w:tcPr>
            <w:tcW w:w="471" w:type="pct"/>
            <w:vMerge/>
          </w:tcPr>
          <w:p w14:paraId="08D6CD74"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33948C38" w14:textId="77777777" w:rsidR="00690701" w:rsidRPr="00532B85" w:rsidRDefault="00690701">
            <w:pPr>
              <w:spacing w:before="60" w:after="60" w:line="240" w:lineRule="auto"/>
              <w:jc w:val="left"/>
              <w:rPr>
                <w:sz w:val="20"/>
                <w:szCs w:val="20"/>
              </w:rPr>
            </w:pPr>
            <w:r w:rsidRPr="00532B85">
              <w:rPr>
                <w:sz w:val="20"/>
                <w:szCs w:val="20"/>
              </w:rPr>
              <w:t>38</w:t>
            </w:r>
          </w:p>
        </w:tc>
        <w:tc>
          <w:tcPr>
            <w:tcW w:w="1222" w:type="pct"/>
            <w:vAlign w:val="center"/>
          </w:tcPr>
          <w:p w14:paraId="64D41935" w14:textId="77777777" w:rsidR="00690701" w:rsidRPr="008D4980" w:rsidRDefault="00690701">
            <w:pPr>
              <w:spacing w:before="60" w:after="60" w:line="240" w:lineRule="auto"/>
              <w:jc w:val="left"/>
              <w:rPr>
                <w:b/>
                <w:sz w:val="20"/>
                <w:szCs w:val="20"/>
              </w:rPr>
            </w:pPr>
            <w:r w:rsidRPr="008D4980">
              <w:rPr>
                <w:b/>
                <w:sz w:val="20"/>
                <w:szCs w:val="20"/>
              </w:rPr>
              <w:t>Bahamas</w:t>
            </w:r>
          </w:p>
        </w:tc>
        <w:tc>
          <w:tcPr>
            <w:tcW w:w="987" w:type="pct"/>
            <w:vAlign w:val="center"/>
          </w:tcPr>
          <w:p w14:paraId="37D7F06E"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722F6E32"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20A363E2"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10EE74F2" w14:textId="77777777" w:rsidTr="002A0E40">
        <w:trPr>
          <w:trHeight w:val="53"/>
        </w:trPr>
        <w:tc>
          <w:tcPr>
            <w:tcW w:w="471" w:type="pct"/>
            <w:vMerge/>
          </w:tcPr>
          <w:p w14:paraId="06B6309B"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16736EB9" w14:textId="77777777" w:rsidR="00690701" w:rsidRPr="00532B85" w:rsidRDefault="00690701">
            <w:pPr>
              <w:spacing w:before="60" w:after="60" w:line="240" w:lineRule="auto"/>
              <w:jc w:val="left"/>
              <w:rPr>
                <w:sz w:val="20"/>
                <w:szCs w:val="20"/>
              </w:rPr>
            </w:pPr>
            <w:r w:rsidRPr="00532B85">
              <w:rPr>
                <w:sz w:val="20"/>
                <w:szCs w:val="20"/>
              </w:rPr>
              <w:t>39</w:t>
            </w:r>
          </w:p>
        </w:tc>
        <w:tc>
          <w:tcPr>
            <w:tcW w:w="1222" w:type="pct"/>
            <w:vAlign w:val="center"/>
          </w:tcPr>
          <w:p w14:paraId="656B5C76" w14:textId="77777777" w:rsidR="00690701" w:rsidRPr="008D4980" w:rsidRDefault="00690701">
            <w:pPr>
              <w:spacing w:before="60" w:after="60" w:line="240" w:lineRule="auto"/>
              <w:jc w:val="left"/>
              <w:rPr>
                <w:b/>
                <w:sz w:val="20"/>
                <w:szCs w:val="20"/>
              </w:rPr>
            </w:pPr>
            <w:r w:rsidRPr="008D4980">
              <w:rPr>
                <w:b/>
                <w:sz w:val="20"/>
                <w:szCs w:val="20"/>
              </w:rPr>
              <w:t>Bangladesh</w:t>
            </w:r>
          </w:p>
        </w:tc>
        <w:tc>
          <w:tcPr>
            <w:tcW w:w="987" w:type="pct"/>
            <w:vAlign w:val="center"/>
          </w:tcPr>
          <w:p w14:paraId="62C70FFA" w14:textId="77777777" w:rsidR="00690701" w:rsidRPr="00532B85" w:rsidRDefault="00690701">
            <w:pPr>
              <w:spacing w:before="60" w:after="60" w:line="240" w:lineRule="auto"/>
              <w:jc w:val="left"/>
              <w:rPr>
                <w:sz w:val="20"/>
                <w:szCs w:val="20"/>
              </w:rPr>
            </w:pPr>
            <w:r w:rsidRPr="00532B85">
              <w:rPr>
                <w:sz w:val="20"/>
                <w:szCs w:val="20"/>
              </w:rPr>
              <w:t>Norway</w:t>
            </w:r>
          </w:p>
        </w:tc>
        <w:tc>
          <w:tcPr>
            <w:tcW w:w="664" w:type="pct"/>
            <w:vAlign w:val="center"/>
          </w:tcPr>
          <w:p w14:paraId="09BCE65B" w14:textId="77777777" w:rsidR="00690701" w:rsidRPr="00532B85" w:rsidRDefault="00690701">
            <w:pPr>
              <w:spacing w:before="60" w:after="60" w:line="240" w:lineRule="auto"/>
              <w:jc w:val="left"/>
              <w:rPr>
                <w:sz w:val="20"/>
                <w:szCs w:val="20"/>
              </w:rPr>
            </w:pPr>
            <w:r w:rsidRPr="00532B85">
              <w:rPr>
                <w:sz w:val="20"/>
                <w:szCs w:val="20"/>
              </w:rPr>
              <w:t>IsDB</w:t>
            </w:r>
          </w:p>
        </w:tc>
        <w:tc>
          <w:tcPr>
            <w:tcW w:w="1410" w:type="pct"/>
            <w:vAlign w:val="center"/>
          </w:tcPr>
          <w:p w14:paraId="2EDDE031" w14:textId="53B0916B" w:rsidR="00690701" w:rsidRPr="00040F91" w:rsidRDefault="00D94F61">
            <w:pPr>
              <w:spacing w:before="60" w:after="60" w:line="240" w:lineRule="auto"/>
              <w:jc w:val="left"/>
              <w:rPr>
                <w:sz w:val="20"/>
                <w:szCs w:val="20"/>
                <w:lang w:eastAsia="ko-KR"/>
              </w:rPr>
            </w:pPr>
            <w:r w:rsidRPr="00040F91">
              <w:rPr>
                <w:sz w:val="20"/>
                <w:szCs w:val="20"/>
              </w:rPr>
              <w:t>Investment phase pipeline</w:t>
            </w:r>
          </w:p>
        </w:tc>
      </w:tr>
      <w:tr w:rsidR="00690701" w:rsidRPr="00532B85" w14:paraId="2602E62F" w14:textId="77777777" w:rsidTr="002A0E40">
        <w:trPr>
          <w:trHeight w:val="53"/>
        </w:trPr>
        <w:tc>
          <w:tcPr>
            <w:tcW w:w="471" w:type="pct"/>
            <w:vMerge/>
          </w:tcPr>
          <w:p w14:paraId="270923C9"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24AE8E84" w14:textId="77777777" w:rsidR="00690701" w:rsidRPr="00532B85" w:rsidRDefault="00690701">
            <w:pPr>
              <w:spacing w:before="60" w:after="60" w:line="240" w:lineRule="auto"/>
              <w:jc w:val="left"/>
              <w:rPr>
                <w:sz w:val="20"/>
                <w:szCs w:val="20"/>
              </w:rPr>
            </w:pPr>
            <w:r w:rsidRPr="00532B85">
              <w:rPr>
                <w:sz w:val="20"/>
                <w:szCs w:val="20"/>
              </w:rPr>
              <w:t>40</w:t>
            </w:r>
          </w:p>
        </w:tc>
        <w:tc>
          <w:tcPr>
            <w:tcW w:w="1222" w:type="pct"/>
            <w:vAlign w:val="center"/>
          </w:tcPr>
          <w:p w14:paraId="579E3625" w14:textId="77777777" w:rsidR="00690701" w:rsidRPr="008D4980" w:rsidRDefault="00690701">
            <w:pPr>
              <w:spacing w:before="60" w:after="60" w:line="240" w:lineRule="auto"/>
              <w:jc w:val="left"/>
              <w:rPr>
                <w:b/>
                <w:sz w:val="20"/>
                <w:szCs w:val="20"/>
              </w:rPr>
            </w:pPr>
            <w:r w:rsidRPr="008D4980">
              <w:rPr>
                <w:b/>
                <w:sz w:val="20"/>
                <w:szCs w:val="20"/>
              </w:rPr>
              <w:t>Barbados</w:t>
            </w:r>
          </w:p>
        </w:tc>
        <w:tc>
          <w:tcPr>
            <w:tcW w:w="987" w:type="pct"/>
            <w:vAlign w:val="center"/>
          </w:tcPr>
          <w:p w14:paraId="6B8FFB43"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0DA720AB"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5F9D062D"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51C4FDB6" w14:textId="77777777" w:rsidTr="002A0E40">
        <w:trPr>
          <w:trHeight w:val="53"/>
        </w:trPr>
        <w:tc>
          <w:tcPr>
            <w:tcW w:w="471" w:type="pct"/>
            <w:vMerge/>
          </w:tcPr>
          <w:p w14:paraId="584559E3"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779637DF" w14:textId="77777777" w:rsidR="00690701" w:rsidRPr="00532B85" w:rsidRDefault="00690701">
            <w:pPr>
              <w:spacing w:before="60" w:after="60" w:line="240" w:lineRule="auto"/>
              <w:jc w:val="left"/>
              <w:rPr>
                <w:sz w:val="20"/>
                <w:szCs w:val="20"/>
              </w:rPr>
            </w:pPr>
            <w:r w:rsidRPr="00532B85">
              <w:rPr>
                <w:sz w:val="20"/>
                <w:szCs w:val="20"/>
              </w:rPr>
              <w:t>41</w:t>
            </w:r>
          </w:p>
        </w:tc>
        <w:tc>
          <w:tcPr>
            <w:tcW w:w="1222" w:type="pct"/>
            <w:vAlign w:val="center"/>
          </w:tcPr>
          <w:p w14:paraId="58EA611E" w14:textId="77777777" w:rsidR="00690701" w:rsidRPr="008D4980" w:rsidRDefault="00690701">
            <w:pPr>
              <w:spacing w:before="60" w:after="60" w:line="240" w:lineRule="auto"/>
              <w:jc w:val="left"/>
              <w:rPr>
                <w:b/>
                <w:sz w:val="20"/>
                <w:szCs w:val="20"/>
              </w:rPr>
            </w:pPr>
            <w:r w:rsidRPr="008D4980">
              <w:rPr>
                <w:b/>
                <w:sz w:val="20"/>
                <w:szCs w:val="20"/>
              </w:rPr>
              <w:t>Comoros</w:t>
            </w:r>
          </w:p>
        </w:tc>
        <w:tc>
          <w:tcPr>
            <w:tcW w:w="987" w:type="pct"/>
            <w:vAlign w:val="center"/>
          </w:tcPr>
          <w:p w14:paraId="329CA686" w14:textId="77777777" w:rsidR="00690701" w:rsidRPr="00532B85" w:rsidRDefault="00690701">
            <w:pPr>
              <w:spacing w:before="60" w:after="60" w:line="240" w:lineRule="auto"/>
              <w:jc w:val="left"/>
              <w:rPr>
                <w:sz w:val="20"/>
                <w:szCs w:val="20"/>
              </w:rPr>
            </w:pPr>
            <w:r w:rsidRPr="00532B85">
              <w:rPr>
                <w:sz w:val="20"/>
                <w:szCs w:val="20"/>
              </w:rPr>
              <w:t>Morocco</w:t>
            </w:r>
          </w:p>
        </w:tc>
        <w:tc>
          <w:tcPr>
            <w:tcW w:w="664" w:type="pct"/>
            <w:vAlign w:val="center"/>
          </w:tcPr>
          <w:p w14:paraId="3EAD285D" w14:textId="77777777" w:rsidR="00690701" w:rsidRPr="00532B85" w:rsidRDefault="00690701">
            <w:pPr>
              <w:spacing w:before="60" w:after="60" w:line="240" w:lineRule="auto"/>
              <w:jc w:val="left"/>
              <w:rPr>
                <w:sz w:val="20"/>
                <w:szCs w:val="20"/>
              </w:rPr>
            </w:pPr>
            <w:r w:rsidRPr="004238CC">
              <w:rPr>
                <w:color w:val="FF0000"/>
                <w:sz w:val="20"/>
                <w:szCs w:val="20"/>
              </w:rPr>
              <w:t>AfDB</w:t>
            </w:r>
          </w:p>
        </w:tc>
        <w:tc>
          <w:tcPr>
            <w:tcW w:w="1410" w:type="pct"/>
            <w:vAlign w:val="center"/>
          </w:tcPr>
          <w:p w14:paraId="13F24EC8"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1124FDBC" w14:textId="77777777" w:rsidTr="002A0E40">
        <w:trPr>
          <w:trHeight w:val="53"/>
        </w:trPr>
        <w:tc>
          <w:tcPr>
            <w:tcW w:w="471" w:type="pct"/>
            <w:vMerge/>
          </w:tcPr>
          <w:p w14:paraId="0D460BA8"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5339EC05" w14:textId="77777777" w:rsidR="00690701" w:rsidRPr="00532B85" w:rsidRDefault="00690701">
            <w:pPr>
              <w:spacing w:before="60" w:after="60" w:line="240" w:lineRule="auto"/>
              <w:jc w:val="left"/>
              <w:rPr>
                <w:sz w:val="20"/>
                <w:szCs w:val="20"/>
              </w:rPr>
            </w:pPr>
            <w:r w:rsidRPr="00532B85">
              <w:rPr>
                <w:sz w:val="20"/>
                <w:szCs w:val="20"/>
              </w:rPr>
              <w:t>42</w:t>
            </w:r>
          </w:p>
        </w:tc>
        <w:tc>
          <w:tcPr>
            <w:tcW w:w="1222" w:type="pct"/>
            <w:vAlign w:val="center"/>
          </w:tcPr>
          <w:p w14:paraId="70205A4C" w14:textId="77777777" w:rsidR="00690701" w:rsidRPr="008D4980" w:rsidRDefault="00690701">
            <w:pPr>
              <w:spacing w:before="60" w:after="60" w:line="240" w:lineRule="auto"/>
              <w:jc w:val="left"/>
              <w:rPr>
                <w:b/>
                <w:sz w:val="20"/>
                <w:szCs w:val="20"/>
              </w:rPr>
            </w:pPr>
            <w:r w:rsidRPr="008D4980">
              <w:rPr>
                <w:b/>
                <w:sz w:val="20"/>
                <w:szCs w:val="20"/>
              </w:rPr>
              <w:t>Cuba</w:t>
            </w:r>
          </w:p>
        </w:tc>
        <w:tc>
          <w:tcPr>
            <w:tcW w:w="987" w:type="pct"/>
            <w:vAlign w:val="center"/>
          </w:tcPr>
          <w:p w14:paraId="243517B0" w14:textId="77777777" w:rsidR="00690701" w:rsidRPr="00532B85" w:rsidRDefault="00690701">
            <w:pPr>
              <w:spacing w:before="60" w:after="60" w:line="240" w:lineRule="auto"/>
              <w:jc w:val="left"/>
              <w:rPr>
                <w:sz w:val="20"/>
                <w:szCs w:val="20"/>
              </w:rPr>
            </w:pPr>
            <w:r w:rsidRPr="00532B85">
              <w:rPr>
                <w:sz w:val="20"/>
                <w:szCs w:val="20"/>
              </w:rPr>
              <w:t>Spain</w:t>
            </w:r>
          </w:p>
        </w:tc>
        <w:tc>
          <w:tcPr>
            <w:tcW w:w="664" w:type="pct"/>
            <w:vAlign w:val="center"/>
          </w:tcPr>
          <w:p w14:paraId="23DA7B01"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0FAD9475" w14:textId="7E50B03F" w:rsidR="00690701" w:rsidRPr="00040F91" w:rsidRDefault="00FB3F96">
            <w:pPr>
              <w:spacing w:before="60" w:after="60" w:line="240" w:lineRule="auto"/>
              <w:jc w:val="left"/>
              <w:rPr>
                <w:sz w:val="20"/>
                <w:szCs w:val="20"/>
                <w:lang w:eastAsia="ko-KR"/>
              </w:rPr>
            </w:pPr>
            <w:r w:rsidRPr="00040F91">
              <w:rPr>
                <w:sz w:val="20"/>
                <w:szCs w:val="20"/>
              </w:rPr>
              <w:t>Investment phase pipeline</w:t>
            </w:r>
          </w:p>
        </w:tc>
      </w:tr>
      <w:tr w:rsidR="00690701" w:rsidRPr="00532B85" w14:paraId="7FE7C831" w14:textId="77777777" w:rsidTr="002A0E40">
        <w:trPr>
          <w:trHeight w:val="53"/>
        </w:trPr>
        <w:tc>
          <w:tcPr>
            <w:tcW w:w="471" w:type="pct"/>
            <w:vMerge/>
          </w:tcPr>
          <w:p w14:paraId="5326D5BC"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13E26F3B" w14:textId="77777777" w:rsidR="00690701" w:rsidRPr="00532B85" w:rsidRDefault="00690701">
            <w:pPr>
              <w:spacing w:before="60" w:after="60" w:line="240" w:lineRule="auto"/>
              <w:jc w:val="left"/>
              <w:rPr>
                <w:sz w:val="20"/>
                <w:szCs w:val="20"/>
              </w:rPr>
            </w:pPr>
            <w:r w:rsidRPr="00532B85">
              <w:rPr>
                <w:sz w:val="20"/>
                <w:szCs w:val="20"/>
              </w:rPr>
              <w:t>43</w:t>
            </w:r>
          </w:p>
        </w:tc>
        <w:tc>
          <w:tcPr>
            <w:tcW w:w="1222" w:type="pct"/>
            <w:vAlign w:val="center"/>
          </w:tcPr>
          <w:p w14:paraId="70D1ED6B" w14:textId="77777777" w:rsidR="00690701" w:rsidRPr="008D4980" w:rsidRDefault="00690701">
            <w:pPr>
              <w:spacing w:before="60" w:after="60" w:line="240" w:lineRule="auto"/>
              <w:jc w:val="left"/>
              <w:rPr>
                <w:b/>
                <w:sz w:val="20"/>
                <w:szCs w:val="20"/>
              </w:rPr>
            </w:pPr>
            <w:r w:rsidRPr="008D4980">
              <w:rPr>
                <w:b/>
                <w:sz w:val="20"/>
                <w:szCs w:val="20"/>
              </w:rPr>
              <w:t>Djibouti</w:t>
            </w:r>
          </w:p>
        </w:tc>
        <w:tc>
          <w:tcPr>
            <w:tcW w:w="987" w:type="pct"/>
            <w:vAlign w:val="center"/>
          </w:tcPr>
          <w:p w14:paraId="408E0A8C" w14:textId="77777777" w:rsidR="00690701" w:rsidRPr="00532B85" w:rsidRDefault="00690701">
            <w:pPr>
              <w:spacing w:before="60" w:after="60" w:line="240" w:lineRule="auto"/>
              <w:jc w:val="left"/>
              <w:rPr>
                <w:sz w:val="20"/>
                <w:szCs w:val="20"/>
              </w:rPr>
            </w:pPr>
            <w:r w:rsidRPr="00532B85">
              <w:rPr>
                <w:sz w:val="20"/>
                <w:szCs w:val="20"/>
              </w:rPr>
              <w:t>Austria</w:t>
            </w:r>
          </w:p>
        </w:tc>
        <w:tc>
          <w:tcPr>
            <w:tcW w:w="664" w:type="pct"/>
            <w:vAlign w:val="center"/>
          </w:tcPr>
          <w:p w14:paraId="24376D42"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7D6752FE" w14:textId="26CC8A52" w:rsidR="00690701" w:rsidRPr="00040F91" w:rsidRDefault="00690701">
            <w:pPr>
              <w:spacing w:before="60" w:after="60" w:line="240" w:lineRule="auto"/>
              <w:jc w:val="left"/>
              <w:rPr>
                <w:sz w:val="20"/>
                <w:szCs w:val="20"/>
              </w:rPr>
            </w:pPr>
            <w:r w:rsidRPr="00040F91">
              <w:rPr>
                <w:sz w:val="20"/>
                <w:szCs w:val="20"/>
              </w:rPr>
              <w:t xml:space="preserve">Readiness phase </w:t>
            </w:r>
            <w:r w:rsidR="00F26DCB" w:rsidRPr="00040F91">
              <w:rPr>
                <w:sz w:val="20"/>
                <w:szCs w:val="20"/>
              </w:rPr>
              <w:t>ongoing</w:t>
            </w:r>
          </w:p>
        </w:tc>
      </w:tr>
      <w:tr w:rsidR="00690701" w:rsidRPr="00532B85" w14:paraId="6A8EA88D" w14:textId="77777777" w:rsidTr="002A0E40">
        <w:trPr>
          <w:trHeight w:val="53"/>
        </w:trPr>
        <w:tc>
          <w:tcPr>
            <w:tcW w:w="471" w:type="pct"/>
            <w:vMerge/>
          </w:tcPr>
          <w:p w14:paraId="79F7EB9F"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37171B4A" w14:textId="77777777" w:rsidR="00690701" w:rsidRPr="00532B85" w:rsidRDefault="00690701">
            <w:pPr>
              <w:spacing w:before="60" w:after="60" w:line="240" w:lineRule="auto"/>
              <w:jc w:val="left"/>
              <w:rPr>
                <w:sz w:val="20"/>
                <w:szCs w:val="20"/>
              </w:rPr>
            </w:pPr>
            <w:r w:rsidRPr="00532B85">
              <w:rPr>
                <w:sz w:val="20"/>
                <w:szCs w:val="20"/>
              </w:rPr>
              <w:t>44</w:t>
            </w:r>
          </w:p>
        </w:tc>
        <w:tc>
          <w:tcPr>
            <w:tcW w:w="1222" w:type="pct"/>
            <w:vAlign w:val="center"/>
          </w:tcPr>
          <w:p w14:paraId="0C7EA859" w14:textId="77777777" w:rsidR="00690701" w:rsidRPr="008D4980" w:rsidRDefault="00690701">
            <w:pPr>
              <w:spacing w:before="60" w:after="60" w:line="240" w:lineRule="auto"/>
              <w:jc w:val="left"/>
              <w:rPr>
                <w:b/>
                <w:sz w:val="20"/>
                <w:szCs w:val="20"/>
              </w:rPr>
            </w:pPr>
            <w:r w:rsidRPr="008D4980">
              <w:rPr>
                <w:b/>
                <w:sz w:val="20"/>
                <w:szCs w:val="20"/>
              </w:rPr>
              <w:t>Dominica</w:t>
            </w:r>
          </w:p>
        </w:tc>
        <w:tc>
          <w:tcPr>
            <w:tcW w:w="987" w:type="pct"/>
            <w:vAlign w:val="center"/>
          </w:tcPr>
          <w:p w14:paraId="720D163A" w14:textId="77777777" w:rsidR="00690701" w:rsidRPr="00532B85" w:rsidRDefault="00690701">
            <w:pPr>
              <w:spacing w:before="60" w:after="60" w:line="240" w:lineRule="auto"/>
              <w:jc w:val="left"/>
              <w:rPr>
                <w:sz w:val="20"/>
                <w:szCs w:val="20"/>
              </w:rPr>
            </w:pPr>
            <w:r w:rsidRPr="00532B85">
              <w:rPr>
                <w:sz w:val="20"/>
                <w:szCs w:val="20"/>
              </w:rPr>
              <w:t>Austria</w:t>
            </w:r>
          </w:p>
        </w:tc>
        <w:tc>
          <w:tcPr>
            <w:tcW w:w="664" w:type="pct"/>
            <w:vAlign w:val="center"/>
          </w:tcPr>
          <w:p w14:paraId="7B1A9C3D" w14:textId="77777777" w:rsidR="00690701" w:rsidRPr="00532B85" w:rsidRDefault="00690701">
            <w:pPr>
              <w:spacing w:before="60" w:after="60" w:line="240" w:lineRule="auto"/>
              <w:jc w:val="left"/>
              <w:rPr>
                <w:sz w:val="20"/>
                <w:szCs w:val="20"/>
              </w:rPr>
            </w:pPr>
            <w:r w:rsidRPr="00532B85">
              <w:rPr>
                <w:sz w:val="20"/>
                <w:szCs w:val="20"/>
              </w:rPr>
              <w:t>WFP</w:t>
            </w:r>
          </w:p>
        </w:tc>
        <w:tc>
          <w:tcPr>
            <w:tcW w:w="1410" w:type="pct"/>
            <w:vAlign w:val="center"/>
          </w:tcPr>
          <w:p w14:paraId="46E8C306" w14:textId="00DB70EB"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0AB20332" w14:textId="77777777" w:rsidTr="002A0E40">
        <w:trPr>
          <w:trHeight w:val="53"/>
        </w:trPr>
        <w:tc>
          <w:tcPr>
            <w:tcW w:w="471" w:type="pct"/>
            <w:vMerge/>
          </w:tcPr>
          <w:p w14:paraId="7DE50E39"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575F9B37" w14:textId="77777777" w:rsidR="00690701" w:rsidRPr="00532B85" w:rsidRDefault="00690701">
            <w:pPr>
              <w:spacing w:before="60" w:after="60" w:line="240" w:lineRule="auto"/>
              <w:jc w:val="left"/>
              <w:rPr>
                <w:sz w:val="20"/>
                <w:szCs w:val="20"/>
              </w:rPr>
            </w:pPr>
            <w:r w:rsidRPr="00532B85">
              <w:rPr>
                <w:sz w:val="20"/>
                <w:szCs w:val="20"/>
              </w:rPr>
              <w:t>45</w:t>
            </w:r>
          </w:p>
        </w:tc>
        <w:tc>
          <w:tcPr>
            <w:tcW w:w="1222" w:type="pct"/>
            <w:vAlign w:val="center"/>
          </w:tcPr>
          <w:p w14:paraId="09D26639" w14:textId="77777777" w:rsidR="00690701" w:rsidRPr="008D4980" w:rsidRDefault="00690701">
            <w:pPr>
              <w:spacing w:before="60" w:after="60" w:line="240" w:lineRule="auto"/>
              <w:jc w:val="left"/>
              <w:rPr>
                <w:b/>
                <w:sz w:val="20"/>
                <w:szCs w:val="20"/>
              </w:rPr>
            </w:pPr>
            <w:r w:rsidRPr="008D4980">
              <w:rPr>
                <w:b/>
                <w:sz w:val="20"/>
                <w:szCs w:val="20"/>
              </w:rPr>
              <w:t>Dominican Republic</w:t>
            </w:r>
          </w:p>
        </w:tc>
        <w:tc>
          <w:tcPr>
            <w:tcW w:w="987" w:type="pct"/>
            <w:vAlign w:val="center"/>
          </w:tcPr>
          <w:p w14:paraId="67A858FE" w14:textId="77777777" w:rsidR="00690701" w:rsidRPr="00532B85" w:rsidRDefault="00690701">
            <w:pPr>
              <w:spacing w:before="60" w:after="60" w:line="240" w:lineRule="auto"/>
              <w:jc w:val="left"/>
              <w:rPr>
                <w:sz w:val="20"/>
                <w:szCs w:val="20"/>
              </w:rPr>
            </w:pPr>
            <w:r w:rsidRPr="00532B85">
              <w:rPr>
                <w:sz w:val="20"/>
                <w:szCs w:val="20"/>
              </w:rPr>
              <w:t>Spain</w:t>
            </w:r>
          </w:p>
        </w:tc>
        <w:tc>
          <w:tcPr>
            <w:tcW w:w="664" w:type="pct"/>
            <w:vAlign w:val="center"/>
          </w:tcPr>
          <w:p w14:paraId="406B02A2" w14:textId="77777777" w:rsidR="00690701" w:rsidRPr="00532B85" w:rsidRDefault="00690701">
            <w:pPr>
              <w:spacing w:before="60" w:after="60" w:line="240" w:lineRule="auto"/>
              <w:jc w:val="left"/>
              <w:rPr>
                <w:sz w:val="20"/>
                <w:szCs w:val="20"/>
              </w:rPr>
            </w:pPr>
            <w:r w:rsidRPr="00532B85">
              <w:rPr>
                <w:sz w:val="20"/>
                <w:szCs w:val="20"/>
              </w:rPr>
              <w:t>WFP</w:t>
            </w:r>
          </w:p>
        </w:tc>
        <w:tc>
          <w:tcPr>
            <w:tcW w:w="1410" w:type="pct"/>
            <w:vAlign w:val="center"/>
          </w:tcPr>
          <w:p w14:paraId="6450CC14" w14:textId="1F9ECF6E" w:rsidR="00690701" w:rsidRPr="00040F91" w:rsidRDefault="00B223A1">
            <w:pPr>
              <w:spacing w:before="60" w:after="60" w:line="240" w:lineRule="auto"/>
              <w:jc w:val="left"/>
              <w:rPr>
                <w:sz w:val="20"/>
                <w:szCs w:val="20"/>
              </w:rPr>
            </w:pPr>
            <w:r w:rsidRPr="00040F91">
              <w:rPr>
                <w:sz w:val="20"/>
                <w:szCs w:val="20"/>
              </w:rPr>
              <w:t xml:space="preserve">Investment funding request </w:t>
            </w:r>
            <w:r w:rsidR="00B71F0A">
              <w:rPr>
                <w:sz w:val="20"/>
                <w:szCs w:val="20"/>
              </w:rPr>
              <w:t>to be considered for pipeline</w:t>
            </w:r>
          </w:p>
        </w:tc>
      </w:tr>
      <w:tr w:rsidR="00690701" w:rsidRPr="00532B85" w14:paraId="252F9B2B" w14:textId="77777777" w:rsidTr="002A0E40">
        <w:trPr>
          <w:trHeight w:val="53"/>
        </w:trPr>
        <w:tc>
          <w:tcPr>
            <w:tcW w:w="471" w:type="pct"/>
            <w:vMerge/>
          </w:tcPr>
          <w:p w14:paraId="6A31462A"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7F5DB184" w14:textId="77777777" w:rsidR="00690701" w:rsidRPr="00532B85" w:rsidRDefault="00690701">
            <w:pPr>
              <w:spacing w:before="60" w:after="60" w:line="240" w:lineRule="auto"/>
              <w:jc w:val="left"/>
              <w:rPr>
                <w:sz w:val="20"/>
                <w:szCs w:val="20"/>
              </w:rPr>
            </w:pPr>
            <w:r w:rsidRPr="00532B85">
              <w:rPr>
                <w:sz w:val="20"/>
                <w:szCs w:val="20"/>
              </w:rPr>
              <w:t>46</w:t>
            </w:r>
          </w:p>
        </w:tc>
        <w:tc>
          <w:tcPr>
            <w:tcW w:w="1222" w:type="pct"/>
            <w:vAlign w:val="center"/>
          </w:tcPr>
          <w:p w14:paraId="4870033F" w14:textId="77777777" w:rsidR="00690701" w:rsidRPr="008D4980" w:rsidRDefault="00690701">
            <w:pPr>
              <w:spacing w:before="60" w:after="60" w:line="240" w:lineRule="auto"/>
              <w:jc w:val="left"/>
              <w:rPr>
                <w:b/>
                <w:sz w:val="20"/>
                <w:szCs w:val="20"/>
              </w:rPr>
            </w:pPr>
            <w:r w:rsidRPr="008D4980">
              <w:rPr>
                <w:b/>
                <w:sz w:val="20"/>
                <w:szCs w:val="20"/>
              </w:rPr>
              <w:t>Federated States of Micronesia</w:t>
            </w:r>
          </w:p>
        </w:tc>
        <w:tc>
          <w:tcPr>
            <w:tcW w:w="987" w:type="pct"/>
            <w:vAlign w:val="center"/>
          </w:tcPr>
          <w:p w14:paraId="0C39701E" w14:textId="77777777" w:rsidR="00690701" w:rsidRPr="00532B85" w:rsidRDefault="00690701">
            <w:pPr>
              <w:spacing w:before="60" w:after="60" w:line="240" w:lineRule="auto"/>
              <w:jc w:val="left"/>
              <w:rPr>
                <w:sz w:val="20"/>
                <w:szCs w:val="20"/>
              </w:rPr>
            </w:pPr>
            <w:r w:rsidRPr="00532B85">
              <w:rPr>
                <w:sz w:val="20"/>
                <w:szCs w:val="20"/>
              </w:rPr>
              <w:t>United Kingdom</w:t>
            </w:r>
          </w:p>
        </w:tc>
        <w:tc>
          <w:tcPr>
            <w:tcW w:w="664" w:type="pct"/>
            <w:vAlign w:val="center"/>
          </w:tcPr>
          <w:p w14:paraId="128ED56A"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0C9E04EC"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3AE2C64F" w14:textId="77777777" w:rsidTr="002A0E40">
        <w:trPr>
          <w:trHeight w:val="53"/>
        </w:trPr>
        <w:tc>
          <w:tcPr>
            <w:tcW w:w="471" w:type="pct"/>
            <w:vMerge/>
          </w:tcPr>
          <w:p w14:paraId="2E607466"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455E343D" w14:textId="77777777" w:rsidR="00690701" w:rsidRPr="00532B85" w:rsidRDefault="00690701">
            <w:pPr>
              <w:spacing w:before="60" w:after="60" w:line="240" w:lineRule="auto"/>
              <w:jc w:val="left"/>
              <w:rPr>
                <w:sz w:val="20"/>
                <w:szCs w:val="20"/>
              </w:rPr>
            </w:pPr>
            <w:r w:rsidRPr="00532B85">
              <w:rPr>
                <w:sz w:val="20"/>
                <w:szCs w:val="20"/>
              </w:rPr>
              <w:t>47</w:t>
            </w:r>
          </w:p>
        </w:tc>
        <w:tc>
          <w:tcPr>
            <w:tcW w:w="1222" w:type="pct"/>
            <w:vAlign w:val="center"/>
          </w:tcPr>
          <w:p w14:paraId="4A06D111" w14:textId="77777777" w:rsidR="00690701" w:rsidRPr="008D4980" w:rsidRDefault="00690701">
            <w:pPr>
              <w:spacing w:before="60" w:after="60" w:line="240" w:lineRule="auto"/>
              <w:jc w:val="left"/>
              <w:rPr>
                <w:b/>
                <w:sz w:val="20"/>
                <w:szCs w:val="20"/>
              </w:rPr>
            </w:pPr>
            <w:r w:rsidRPr="008D4980">
              <w:rPr>
                <w:b/>
                <w:sz w:val="20"/>
                <w:szCs w:val="20"/>
              </w:rPr>
              <w:t>Jamaica</w:t>
            </w:r>
          </w:p>
        </w:tc>
        <w:tc>
          <w:tcPr>
            <w:tcW w:w="987" w:type="pct"/>
            <w:vAlign w:val="center"/>
          </w:tcPr>
          <w:p w14:paraId="028F48E7"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4DEC8395"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0580D7C8" w14:textId="68D8602B" w:rsidR="00690701" w:rsidRPr="00040F91" w:rsidRDefault="00690701">
            <w:pPr>
              <w:spacing w:before="60" w:after="60" w:line="240" w:lineRule="auto"/>
              <w:jc w:val="left"/>
              <w:rPr>
                <w:sz w:val="20"/>
                <w:szCs w:val="20"/>
              </w:rPr>
            </w:pPr>
            <w:r w:rsidRPr="00040F91">
              <w:rPr>
                <w:sz w:val="20"/>
                <w:szCs w:val="20"/>
              </w:rPr>
              <w:t xml:space="preserve">Readiness phase </w:t>
            </w:r>
            <w:r w:rsidR="000C4954" w:rsidRPr="00040F91">
              <w:rPr>
                <w:sz w:val="20"/>
                <w:szCs w:val="20"/>
              </w:rPr>
              <w:t>completed</w:t>
            </w:r>
          </w:p>
        </w:tc>
      </w:tr>
      <w:tr w:rsidR="00690701" w:rsidRPr="00532B85" w14:paraId="769DE33E" w14:textId="77777777" w:rsidTr="002A0E40">
        <w:trPr>
          <w:trHeight w:val="53"/>
        </w:trPr>
        <w:tc>
          <w:tcPr>
            <w:tcW w:w="471" w:type="pct"/>
            <w:vMerge/>
          </w:tcPr>
          <w:p w14:paraId="28DE9673"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7E3E73C5" w14:textId="77777777" w:rsidR="00690701" w:rsidRPr="00532B85" w:rsidRDefault="00690701">
            <w:pPr>
              <w:spacing w:before="60" w:after="60" w:line="240" w:lineRule="auto"/>
              <w:jc w:val="left"/>
              <w:rPr>
                <w:sz w:val="20"/>
                <w:szCs w:val="20"/>
              </w:rPr>
            </w:pPr>
            <w:r w:rsidRPr="00532B85">
              <w:rPr>
                <w:sz w:val="20"/>
                <w:szCs w:val="20"/>
              </w:rPr>
              <w:t>48</w:t>
            </w:r>
          </w:p>
        </w:tc>
        <w:tc>
          <w:tcPr>
            <w:tcW w:w="1222" w:type="pct"/>
            <w:vAlign w:val="center"/>
          </w:tcPr>
          <w:p w14:paraId="3CEC3D09" w14:textId="77777777" w:rsidR="00690701" w:rsidRPr="008D4980" w:rsidRDefault="00690701">
            <w:pPr>
              <w:spacing w:before="60" w:after="60" w:line="240" w:lineRule="auto"/>
              <w:jc w:val="left"/>
              <w:rPr>
                <w:b/>
                <w:sz w:val="20"/>
                <w:szCs w:val="20"/>
              </w:rPr>
            </w:pPr>
            <w:r w:rsidRPr="008D4980">
              <w:rPr>
                <w:b/>
                <w:sz w:val="20"/>
                <w:szCs w:val="20"/>
              </w:rPr>
              <w:t>Marshall Islands</w:t>
            </w:r>
          </w:p>
        </w:tc>
        <w:tc>
          <w:tcPr>
            <w:tcW w:w="987" w:type="pct"/>
            <w:vAlign w:val="center"/>
          </w:tcPr>
          <w:p w14:paraId="4DEE4E79" w14:textId="77777777" w:rsidR="00690701" w:rsidRPr="00532B85" w:rsidRDefault="00690701">
            <w:pPr>
              <w:spacing w:before="60" w:after="60" w:line="240" w:lineRule="auto"/>
              <w:jc w:val="left"/>
              <w:rPr>
                <w:sz w:val="20"/>
                <w:szCs w:val="20"/>
              </w:rPr>
            </w:pPr>
            <w:r w:rsidRPr="00532B85">
              <w:rPr>
                <w:sz w:val="20"/>
                <w:szCs w:val="20"/>
              </w:rPr>
              <w:t>United Kingdom</w:t>
            </w:r>
          </w:p>
        </w:tc>
        <w:tc>
          <w:tcPr>
            <w:tcW w:w="664" w:type="pct"/>
            <w:vAlign w:val="center"/>
          </w:tcPr>
          <w:p w14:paraId="4A454761"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5ED042C2"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335AA21C" w14:textId="77777777" w:rsidTr="002A0E40">
        <w:trPr>
          <w:trHeight w:val="53"/>
        </w:trPr>
        <w:tc>
          <w:tcPr>
            <w:tcW w:w="471" w:type="pct"/>
            <w:vMerge/>
          </w:tcPr>
          <w:p w14:paraId="2223A867"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4D003A07" w14:textId="77777777" w:rsidR="00690701" w:rsidRPr="00532B85" w:rsidRDefault="00690701">
            <w:pPr>
              <w:spacing w:before="60" w:after="60" w:line="240" w:lineRule="auto"/>
              <w:jc w:val="left"/>
              <w:rPr>
                <w:sz w:val="20"/>
                <w:szCs w:val="20"/>
              </w:rPr>
            </w:pPr>
            <w:r w:rsidRPr="00532B85">
              <w:rPr>
                <w:sz w:val="20"/>
                <w:szCs w:val="20"/>
              </w:rPr>
              <w:t>49</w:t>
            </w:r>
          </w:p>
        </w:tc>
        <w:tc>
          <w:tcPr>
            <w:tcW w:w="1222" w:type="pct"/>
            <w:vAlign w:val="center"/>
          </w:tcPr>
          <w:p w14:paraId="1CBF0ABE" w14:textId="77777777" w:rsidR="00690701" w:rsidRPr="008D4980" w:rsidRDefault="00690701">
            <w:pPr>
              <w:spacing w:before="60" w:after="60" w:line="240" w:lineRule="auto"/>
              <w:jc w:val="left"/>
              <w:rPr>
                <w:b/>
                <w:sz w:val="20"/>
                <w:szCs w:val="20"/>
              </w:rPr>
            </w:pPr>
            <w:r w:rsidRPr="008D4980">
              <w:rPr>
                <w:b/>
                <w:sz w:val="20"/>
                <w:szCs w:val="20"/>
              </w:rPr>
              <w:t>Mauritius</w:t>
            </w:r>
          </w:p>
        </w:tc>
        <w:tc>
          <w:tcPr>
            <w:tcW w:w="987" w:type="pct"/>
            <w:vAlign w:val="center"/>
          </w:tcPr>
          <w:p w14:paraId="680BD996" w14:textId="77777777" w:rsidR="00690701" w:rsidRPr="00532B85" w:rsidRDefault="00690701">
            <w:pPr>
              <w:spacing w:before="60" w:after="60" w:line="240" w:lineRule="auto"/>
              <w:jc w:val="left"/>
              <w:rPr>
                <w:sz w:val="20"/>
                <w:szCs w:val="20"/>
              </w:rPr>
            </w:pPr>
            <w:r w:rsidRPr="00532B85">
              <w:rPr>
                <w:sz w:val="20"/>
                <w:szCs w:val="20"/>
              </w:rPr>
              <w:t>South Africa – India</w:t>
            </w:r>
          </w:p>
        </w:tc>
        <w:tc>
          <w:tcPr>
            <w:tcW w:w="664" w:type="pct"/>
            <w:vAlign w:val="center"/>
          </w:tcPr>
          <w:p w14:paraId="29A74309" w14:textId="77777777" w:rsidR="00690701" w:rsidRPr="005649E5" w:rsidRDefault="00690701">
            <w:pPr>
              <w:spacing w:before="60" w:after="60" w:line="240" w:lineRule="auto"/>
              <w:jc w:val="left"/>
              <w:rPr>
                <w:sz w:val="20"/>
                <w:szCs w:val="20"/>
              </w:rPr>
            </w:pPr>
            <w:r w:rsidRPr="004238CC">
              <w:rPr>
                <w:color w:val="FF0000"/>
                <w:sz w:val="20"/>
                <w:szCs w:val="20"/>
              </w:rPr>
              <w:t>AfDB</w:t>
            </w:r>
          </w:p>
        </w:tc>
        <w:tc>
          <w:tcPr>
            <w:tcW w:w="1410" w:type="pct"/>
            <w:vAlign w:val="center"/>
          </w:tcPr>
          <w:p w14:paraId="10C36732"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042DF240" w14:textId="77777777" w:rsidTr="002A0E40">
        <w:trPr>
          <w:trHeight w:val="53"/>
        </w:trPr>
        <w:tc>
          <w:tcPr>
            <w:tcW w:w="471" w:type="pct"/>
            <w:vMerge/>
          </w:tcPr>
          <w:p w14:paraId="3709E7CF"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120ECFA9" w14:textId="77777777" w:rsidR="00690701" w:rsidRPr="00532B85" w:rsidRDefault="00690701">
            <w:pPr>
              <w:spacing w:before="60" w:after="60" w:line="240" w:lineRule="auto"/>
              <w:jc w:val="left"/>
              <w:rPr>
                <w:sz w:val="20"/>
                <w:szCs w:val="20"/>
              </w:rPr>
            </w:pPr>
            <w:r w:rsidRPr="00532B85">
              <w:rPr>
                <w:sz w:val="20"/>
                <w:szCs w:val="20"/>
              </w:rPr>
              <w:t>50</w:t>
            </w:r>
          </w:p>
        </w:tc>
        <w:tc>
          <w:tcPr>
            <w:tcW w:w="1222" w:type="pct"/>
            <w:vAlign w:val="center"/>
          </w:tcPr>
          <w:p w14:paraId="5D41499B" w14:textId="77777777" w:rsidR="00690701" w:rsidRPr="008D4980" w:rsidRDefault="00690701">
            <w:pPr>
              <w:spacing w:before="60" w:after="60" w:line="240" w:lineRule="auto"/>
              <w:jc w:val="left"/>
              <w:rPr>
                <w:b/>
                <w:sz w:val="20"/>
                <w:szCs w:val="20"/>
              </w:rPr>
            </w:pPr>
            <w:r w:rsidRPr="008D4980">
              <w:rPr>
                <w:b/>
                <w:sz w:val="20"/>
                <w:szCs w:val="20"/>
              </w:rPr>
              <w:t>Niger</w:t>
            </w:r>
          </w:p>
        </w:tc>
        <w:tc>
          <w:tcPr>
            <w:tcW w:w="987" w:type="pct"/>
            <w:vAlign w:val="center"/>
          </w:tcPr>
          <w:p w14:paraId="2CB19687" w14:textId="77777777" w:rsidR="00690701" w:rsidRPr="00532B85" w:rsidRDefault="00690701">
            <w:pPr>
              <w:spacing w:before="60" w:after="60" w:line="240" w:lineRule="auto"/>
              <w:jc w:val="left"/>
              <w:rPr>
                <w:sz w:val="20"/>
                <w:szCs w:val="20"/>
              </w:rPr>
            </w:pPr>
            <w:r w:rsidRPr="00532B85">
              <w:rPr>
                <w:sz w:val="20"/>
                <w:szCs w:val="20"/>
              </w:rPr>
              <w:t>Nigeria</w:t>
            </w:r>
          </w:p>
        </w:tc>
        <w:tc>
          <w:tcPr>
            <w:tcW w:w="664" w:type="pct"/>
            <w:vAlign w:val="center"/>
          </w:tcPr>
          <w:p w14:paraId="33E87D01" w14:textId="77777777" w:rsidR="00690701" w:rsidRPr="005649E5" w:rsidRDefault="00690701">
            <w:pPr>
              <w:spacing w:before="60" w:after="60" w:line="240" w:lineRule="auto"/>
              <w:jc w:val="left"/>
              <w:rPr>
                <w:sz w:val="20"/>
                <w:szCs w:val="20"/>
              </w:rPr>
            </w:pPr>
            <w:r w:rsidRPr="004238CC">
              <w:rPr>
                <w:color w:val="FF0000"/>
                <w:sz w:val="20"/>
                <w:szCs w:val="20"/>
              </w:rPr>
              <w:t>AfDB</w:t>
            </w:r>
          </w:p>
        </w:tc>
        <w:tc>
          <w:tcPr>
            <w:tcW w:w="1410" w:type="pct"/>
            <w:vAlign w:val="center"/>
          </w:tcPr>
          <w:p w14:paraId="79105F89"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3BEABEDF" w14:textId="77777777" w:rsidTr="002A0E40">
        <w:trPr>
          <w:trHeight w:val="53"/>
        </w:trPr>
        <w:tc>
          <w:tcPr>
            <w:tcW w:w="471" w:type="pct"/>
            <w:vMerge/>
          </w:tcPr>
          <w:p w14:paraId="71B32EE1"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021A5F55" w14:textId="77777777" w:rsidR="00690701" w:rsidRPr="00532B85" w:rsidRDefault="00690701">
            <w:pPr>
              <w:spacing w:before="60" w:after="60" w:line="240" w:lineRule="auto"/>
              <w:jc w:val="left"/>
              <w:rPr>
                <w:sz w:val="20"/>
                <w:szCs w:val="20"/>
              </w:rPr>
            </w:pPr>
            <w:r w:rsidRPr="00532B85">
              <w:rPr>
                <w:sz w:val="20"/>
                <w:szCs w:val="20"/>
              </w:rPr>
              <w:t>51</w:t>
            </w:r>
          </w:p>
        </w:tc>
        <w:tc>
          <w:tcPr>
            <w:tcW w:w="1222" w:type="pct"/>
            <w:shd w:val="clear" w:color="auto" w:fill="FFFFFF" w:themeFill="background1"/>
            <w:vAlign w:val="center"/>
          </w:tcPr>
          <w:p w14:paraId="48C80171" w14:textId="77777777" w:rsidR="00690701" w:rsidRPr="008D4980" w:rsidRDefault="00690701">
            <w:pPr>
              <w:spacing w:before="60" w:after="60" w:line="240" w:lineRule="auto"/>
              <w:jc w:val="left"/>
              <w:rPr>
                <w:b/>
                <w:sz w:val="20"/>
                <w:szCs w:val="20"/>
              </w:rPr>
            </w:pPr>
            <w:r w:rsidRPr="008D4980">
              <w:rPr>
                <w:b/>
                <w:sz w:val="20"/>
                <w:szCs w:val="20"/>
              </w:rPr>
              <w:t>Palau</w:t>
            </w:r>
          </w:p>
        </w:tc>
        <w:tc>
          <w:tcPr>
            <w:tcW w:w="987" w:type="pct"/>
            <w:shd w:val="clear" w:color="auto" w:fill="FFFFFF" w:themeFill="background1"/>
            <w:vAlign w:val="center"/>
          </w:tcPr>
          <w:p w14:paraId="3BEC236C" w14:textId="77777777" w:rsidR="00690701" w:rsidRPr="00532B85" w:rsidRDefault="00690701">
            <w:pPr>
              <w:spacing w:before="60" w:after="60" w:line="240" w:lineRule="auto"/>
              <w:jc w:val="left"/>
              <w:rPr>
                <w:sz w:val="20"/>
                <w:szCs w:val="20"/>
              </w:rPr>
            </w:pPr>
            <w:r w:rsidRPr="00532B85">
              <w:rPr>
                <w:sz w:val="20"/>
                <w:szCs w:val="20"/>
              </w:rPr>
              <w:t>United Kingdom</w:t>
            </w:r>
          </w:p>
        </w:tc>
        <w:tc>
          <w:tcPr>
            <w:tcW w:w="664" w:type="pct"/>
            <w:shd w:val="clear" w:color="auto" w:fill="FFFFFF" w:themeFill="background1"/>
            <w:vAlign w:val="center"/>
          </w:tcPr>
          <w:p w14:paraId="6D17A8C5" w14:textId="77777777" w:rsidR="00690701" w:rsidRPr="00532B85" w:rsidRDefault="00690701">
            <w:pPr>
              <w:spacing w:before="60" w:after="60" w:line="240" w:lineRule="auto"/>
              <w:jc w:val="left"/>
              <w:rPr>
                <w:sz w:val="20"/>
                <w:szCs w:val="20"/>
              </w:rPr>
            </w:pPr>
            <w:r w:rsidRPr="00532B85">
              <w:rPr>
                <w:sz w:val="20"/>
                <w:szCs w:val="20"/>
              </w:rPr>
              <w:t>UNEP</w:t>
            </w:r>
          </w:p>
        </w:tc>
        <w:tc>
          <w:tcPr>
            <w:tcW w:w="1410" w:type="pct"/>
            <w:vAlign w:val="center"/>
          </w:tcPr>
          <w:p w14:paraId="3FB272CB" w14:textId="77777777" w:rsidR="00690701" w:rsidRPr="00040F91" w:rsidRDefault="00690701">
            <w:pPr>
              <w:spacing w:before="60" w:after="60" w:line="240" w:lineRule="auto"/>
              <w:jc w:val="left"/>
              <w:rPr>
                <w:sz w:val="20"/>
                <w:szCs w:val="20"/>
              </w:rPr>
            </w:pPr>
            <w:r w:rsidRPr="00040F91">
              <w:rPr>
                <w:sz w:val="20"/>
                <w:szCs w:val="20"/>
              </w:rPr>
              <w:t>Readiness phase completed</w:t>
            </w:r>
          </w:p>
        </w:tc>
      </w:tr>
      <w:tr w:rsidR="00690701" w:rsidRPr="00532B85" w14:paraId="51DDAB06" w14:textId="77777777" w:rsidTr="002A0E40">
        <w:trPr>
          <w:trHeight w:val="53"/>
        </w:trPr>
        <w:tc>
          <w:tcPr>
            <w:tcW w:w="471" w:type="pct"/>
            <w:vMerge/>
          </w:tcPr>
          <w:p w14:paraId="37A944C8"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73C08957" w14:textId="77777777" w:rsidR="00690701" w:rsidRPr="00532B85" w:rsidRDefault="00690701">
            <w:pPr>
              <w:spacing w:before="60" w:after="60" w:line="240" w:lineRule="auto"/>
              <w:jc w:val="left"/>
              <w:rPr>
                <w:sz w:val="20"/>
                <w:szCs w:val="20"/>
              </w:rPr>
            </w:pPr>
            <w:r w:rsidRPr="00532B85">
              <w:rPr>
                <w:sz w:val="20"/>
                <w:szCs w:val="20"/>
              </w:rPr>
              <w:t>52</w:t>
            </w:r>
          </w:p>
        </w:tc>
        <w:tc>
          <w:tcPr>
            <w:tcW w:w="1222" w:type="pct"/>
            <w:vAlign w:val="center"/>
          </w:tcPr>
          <w:p w14:paraId="3C61C2E5" w14:textId="77777777" w:rsidR="00690701" w:rsidRPr="008D4980" w:rsidRDefault="00690701">
            <w:pPr>
              <w:spacing w:before="60" w:after="60" w:line="240" w:lineRule="auto"/>
              <w:jc w:val="left"/>
              <w:rPr>
                <w:b/>
                <w:sz w:val="20"/>
                <w:szCs w:val="20"/>
              </w:rPr>
            </w:pPr>
            <w:r w:rsidRPr="008D4980">
              <w:rPr>
                <w:b/>
                <w:sz w:val="20"/>
                <w:szCs w:val="20"/>
              </w:rPr>
              <w:t>Saint Kitts and Nevis</w:t>
            </w:r>
          </w:p>
        </w:tc>
        <w:tc>
          <w:tcPr>
            <w:tcW w:w="987" w:type="pct"/>
            <w:vAlign w:val="center"/>
          </w:tcPr>
          <w:p w14:paraId="0D7EA170"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4E03FBC9"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09DF2D68" w14:textId="458F5366" w:rsidR="00690701" w:rsidRPr="00040F91" w:rsidRDefault="00690701">
            <w:pPr>
              <w:spacing w:before="60" w:after="60" w:line="240" w:lineRule="auto"/>
              <w:jc w:val="left"/>
              <w:rPr>
                <w:sz w:val="20"/>
                <w:szCs w:val="20"/>
              </w:rPr>
            </w:pPr>
            <w:r w:rsidRPr="00040F91">
              <w:rPr>
                <w:sz w:val="20"/>
                <w:szCs w:val="20"/>
              </w:rPr>
              <w:t xml:space="preserve">Readiness phase </w:t>
            </w:r>
            <w:r w:rsidR="00796748" w:rsidRPr="00040F91">
              <w:rPr>
                <w:sz w:val="20"/>
                <w:szCs w:val="20"/>
              </w:rPr>
              <w:t>completed</w:t>
            </w:r>
          </w:p>
        </w:tc>
      </w:tr>
      <w:tr w:rsidR="00690701" w:rsidRPr="00532B85" w14:paraId="68ED9CEA" w14:textId="77777777" w:rsidTr="002A0E40">
        <w:trPr>
          <w:trHeight w:val="53"/>
        </w:trPr>
        <w:tc>
          <w:tcPr>
            <w:tcW w:w="471" w:type="pct"/>
            <w:vMerge/>
          </w:tcPr>
          <w:p w14:paraId="3FF6E085"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7D1011E6" w14:textId="77777777" w:rsidR="00690701" w:rsidRPr="00532B85" w:rsidRDefault="00690701">
            <w:pPr>
              <w:spacing w:before="60" w:after="60" w:line="240" w:lineRule="auto"/>
              <w:jc w:val="left"/>
              <w:rPr>
                <w:sz w:val="20"/>
                <w:szCs w:val="20"/>
              </w:rPr>
            </w:pPr>
            <w:r w:rsidRPr="00532B85">
              <w:rPr>
                <w:sz w:val="20"/>
                <w:szCs w:val="20"/>
              </w:rPr>
              <w:t>53</w:t>
            </w:r>
          </w:p>
        </w:tc>
        <w:tc>
          <w:tcPr>
            <w:tcW w:w="1222" w:type="pct"/>
            <w:vAlign w:val="center"/>
          </w:tcPr>
          <w:p w14:paraId="6C8B9E9C" w14:textId="77777777" w:rsidR="00690701" w:rsidRPr="008D4980" w:rsidRDefault="00690701">
            <w:pPr>
              <w:spacing w:before="60" w:after="60" w:line="240" w:lineRule="auto"/>
              <w:jc w:val="left"/>
              <w:rPr>
                <w:b/>
                <w:sz w:val="20"/>
                <w:szCs w:val="20"/>
              </w:rPr>
            </w:pPr>
            <w:r w:rsidRPr="008D4980">
              <w:rPr>
                <w:b/>
                <w:sz w:val="20"/>
                <w:szCs w:val="20"/>
              </w:rPr>
              <w:t>Saint Lucia</w:t>
            </w:r>
          </w:p>
        </w:tc>
        <w:tc>
          <w:tcPr>
            <w:tcW w:w="987" w:type="pct"/>
            <w:vAlign w:val="center"/>
          </w:tcPr>
          <w:p w14:paraId="4350C2D4" w14:textId="77777777" w:rsidR="00690701" w:rsidRPr="00532B85" w:rsidRDefault="00690701">
            <w:pPr>
              <w:spacing w:before="60" w:after="60" w:line="240" w:lineRule="auto"/>
              <w:jc w:val="left"/>
              <w:rPr>
                <w:sz w:val="20"/>
                <w:szCs w:val="20"/>
              </w:rPr>
            </w:pPr>
            <w:r w:rsidRPr="00532B85">
              <w:rPr>
                <w:sz w:val="20"/>
                <w:szCs w:val="20"/>
              </w:rPr>
              <w:t>Austria</w:t>
            </w:r>
          </w:p>
        </w:tc>
        <w:tc>
          <w:tcPr>
            <w:tcW w:w="664" w:type="pct"/>
            <w:vAlign w:val="center"/>
          </w:tcPr>
          <w:p w14:paraId="0C4F181C" w14:textId="77777777" w:rsidR="00690701" w:rsidRPr="00532B85" w:rsidRDefault="00690701">
            <w:pPr>
              <w:spacing w:before="60" w:after="60" w:line="240" w:lineRule="auto"/>
              <w:jc w:val="left"/>
              <w:rPr>
                <w:sz w:val="20"/>
                <w:szCs w:val="20"/>
              </w:rPr>
            </w:pPr>
            <w:r w:rsidRPr="00532B85">
              <w:rPr>
                <w:sz w:val="20"/>
                <w:szCs w:val="20"/>
              </w:rPr>
              <w:t>WFP</w:t>
            </w:r>
          </w:p>
        </w:tc>
        <w:tc>
          <w:tcPr>
            <w:tcW w:w="1410" w:type="pct"/>
            <w:vAlign w:val="center"/>
          </w:tcPr>
          <w:p w14:paraId="515C9C86"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40335A39" w14:textId="77777777" w:rsidTr="002A0E40">
        <w:trPr>
          <w:trHeight w:val="53"/>
        </w:trPr>
        <w:tc>
          <w:tcPr>
            <w:tcW w:w="471" w:type="pct"/>
            <w:vMerge/>
          </w:tcPr>
          <w:p w14:paraId="7EA9ADD9"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4E7F4CCD" w14:textId="77777777" w:rsidR="00690701" w:rsidRPr="00532B85" w:rsidRDefault="00690701">
            <w:pPr>
              <w:spacing w:before="60" w:after="60" w:line="240" w:lineRule="auto"/>
              <w:jc w:val="left"/>
              <w:rPr>
                <w:sz w:val="20"/>
                <w:szCs w:val="20"/>
              </w:rPr>
            </w:pPr>
            <w:r w:rsidRPr="00532B85">
              <w:rPr>
                <w:sz w:val="20"/>
                <w:szCs w:val="20"/>
              </w:rPr>
              <w:t>54</w:t>
            </w:r>
          </w:p>
        </w:tc>
        <w:tc>
          <w:tcPr>
            <w:tcW w:w="1222" w:type="pct"/>
            <w:vAlign w:val="center"/>
          </w:tcPr>
          <w:p w14:paraId="04B22EC4" w14:textId="77777777" w:rsidR="00690701" w:rsidRPr="008D4980" w:rsidRDefault="00690701">
            <w:pPr>
              <w:spacing w:before="60" w:after="60" w:line="240" w:lineRule="auto"/>
              <w:jc w:val="left"/>
              <w:rPr>
                <w:b/>
                <w:sz w:val="20"/>
                <w:szCs w:val="20"/>
              </w:rPr>
            </w:pPr>
            <w:r w:rsidRPr="008D4980">
              <w:rPr>
                <w:b/>
                <w:sz w:val="20"/>
                <w:szCs w:val="20"/>
              </w:rPr>
              <w:t>Saint Vincent and Grenadines</w:t>
            </w:r>
          </w:p>
        </w:tc>
        <w:tc>
          <w:tcPr>
            <w:tcW w:w="987" w:type="pct"/>
            <w:vAlign w:val="center"/>
          </w:tcPr>
          <w:p w14:paraId="42B8C3F5" w14:textId="77777777" w:rsidR="00690701" w:rsidRPr="00532B85" w:rsidRDefault="00690701">
            <w:pPr>
              <w:spacing w:before="60" w:after="60" w:line="240" w:lineRule="auto"/>
              <w:jc w:val="left"/>
              <w:rPr>
                <w:sz w:val="20"/>
                <w:szCs w:val="20"/>
              </w:rPr>
            </w:pPr>
            <w:r w:rsidRPr="00532B85">
              <w:rPr>
                <w:sz w:val="20"/>
                <w:szCs w:val="20"/>
              </w:rPr>
              <w:t>Austria</w:t>
            </w:r>
          </w:p>
        </w:tc>
        <w:tc>
          <w:tcPr>
            <w:tcW w:w="664" w:type="pct"/>
            <w:vAlign w:val="center"/>
          </w:tcPr>
          <w:p w14:paraId="45427508" w14:textId="77777777" w:rsidR="00690701" w:rsidRPr="00532B85" w:rsidRDefault="00690701">
            <w:pPr>
              <w:spacing w:before="60" w:after="60" w:line="240" w:lineRule="auto"/>
              <w:jc w:val="left"/>
              <w:rPr>
                <w:sz w:val="20"/>
                <w:szCs w:val="20"/>
              </w:rPr>
            </w:pPr>
            <w:r w:rsidRPr="00532B85">
              <w:rPr>
                <w:sz w:val="20"/>
                <w:szCs w:val="20"/>
              </w:rPr>
              <w:t>WFP</w:t>
            </w:r>
          </w:p>
        </w:tc>
        <w:tc>
          <w:tcPr>
            <w:tcW w:w="1410" w:type="pct"/>
            <w:vAlign w:val="center"/>
          </w:tcPr>
          <w:p w14:paraId="21908462"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72DE46B4" w14:textId="77777777" w:rsidTr="002A0E40">
        <w:trPr>
          <w:trHeight w:val="53"/>
        </w:trPr>
        <w:tc>
          <w:tcPr>
            <w:tcW w:w="471" w:type="pct"/>
            <w:vMerge/>
          </w:tcPr>
          <w:p w14:paraId="0D192682"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18E70EFD" w14:textId="77777777" w:rsidR="00690701" w:rsidRPr="00532B85" w:rsidRDefault="00690701">
            <w:pPr>
              <w:spacing w:before="60" w:after="60" w:line="240" w:lineRule="auto"/>
              <w:jc w:val="left"/>
              <w:rPr>
                <w:sz w:val="20"/>
                <w:szCs w:val="20"/>
              </w:rPr>
            </w:pPr>
            <w:r w:rsidRPr="00532B85">
              <w:rPr>
                <w:sz w:val="20"/>
                <w:szCs w:val="20"/>
              </w:rPr>
              <w:t>55</w:t>
            </w:r>
          </w:p>
        </w:tc>
        <w:tc>
          <w:tcPr>
            <w:tcW w:w="1222" w:type="pct"/>
            <w:vAlign w:val="center"/>
          </w:tcPr>
          <w:p w14:paraId="7336B781" w14:textId="77777777" w:rsidR="00690701" w:rsidRPr="008D4980" w:rsidRDefault="00690701">
            <w:pPr>
              <w:spacing w:before="60" w:after="60" w:line="240" w:lineRule="auto"/>
              <w:jc w:val="left"/>
              <w:rPr>
                <w:b/>
                <w:sz w:val="20"/>
                <w:szCs w:val="20"/>
              </w:rPr>
            </w:pPr>
            <w:r w:rsidRPr="008D4980">
              <w:rPr>
                <w:b/>
                <w:sz w:val="20"/>
                <w:szCs w:val="20"/>
              </w:rPr>
              <w:t>Seychelles</w:t>
            </w:r>
          </w:p>
        </w:tc>
        <w:tc>
          <w:tcPr>
            <w:tcW w:w="987" w:type="pct"/>
            <w:vAlign w:val="center"/>
          </w:tcPr>
          <w:p w14:paraId="152AC787" w14:textId="77777777" w:rsidR="00690701" w:rsidRPr="00532B85" w:rsidRDefault="00690701">
            <w:pPr>
              <w:spacing w:before="60" w:after="60" w:line="240" w:lineRule="auto"/>
              <w:jc w:val="left"/>
              <w:rPr>
                <w:sz w:val="20"/>
                <w:szCs w:val="20"/>
              </w:rPr>
            </w:pPr>
            <w:r w:rsidRPr="00532B85">
              <w:rPr>
                <w:sz w:val="20"/>
                <w:szCs w:val="20"/>
              </w:rPr>
              <w:t>South Africa</w:t>
            </w:r>
          </w:p>
        </w:tc>
        <w:tc>
          <w:tcPr>
            <w:tcW w:w="664" w:type="pct"/>
            <w:vAlign w:val="center"/>
          </w:tcPr>
          <w:p w14:paraId="25353CAB" w14:textId="16B43302" w:rsidR="00690701" w:rsidRPr="00532B85" w:rsidRDefault="00DD4287">
            <w:pPr>
              <w:spacing w:before="60" w:after="60" w:line="240" w:lineRule="auto"/>
              <w:jc w:val="left"/>
              <w:rPr>
                <w:sz w:val="20"/>
                <w:szCs w:val="20"/>
              </w:rPr>
            </w:pPr>
            <w:r w:rsidRPr="00DD4287">
              <w:rPr>
                <w:sz w:val="20"/>
                <w:szCs w:val="20"/>
              </w:rPr>
              <w:t>World Bank</w:t>
            </w:r>
          </w:p>
        </w:tc>
        <w:tc>
          <w:tcPr>
            <w:tcW w:w="1410" w:type="pct"/>
            <w:vAlign w:val="center"/>
          </w:tcPr>
          <w:p w14:paraId="06652F8F" w14:textId="51883BDA" w:rsidR="00690701" w:rsidRPr="00040F91" w:rsidRDefault="00690701">
            <w:pPr>
              <w:spacing w:before="60" w:after="60" w:line="240" w:lineRule="auto"/>
              <w:jc w:val="left"/>
              <w:rPr>
                <w:sz w:val="20"/>
                <w:szCs w:val="20"/>
              </w:rPr>
            </w:pPr>
            <w:r w:rsidRPr="00040F91">
              <w:rPr>
                <w:sz w:val="20"/>
                <w:szCs w:val="20"/>
              </w:rPr>
              <w:t xml:space="preserve">Readiness phase </w:t>
            </w:r>
            <w:r w:rsidR="001B7BC3" w:rsidRPr="00040F91">
              <w:rPr>
                <w:sz w:val="20"/>
                <w:szCs w:val="20"/>
              </w:rPr>
              <w:t>completed</w:t>
            </w:r>
          </w:p>
        </w:tc>
      </w:tr>
      <w:tr w:rsidR="00690701" w:rsidRPr="00532B85" w14:paraId="2633D48C" w14:textId="77777777" w:rsidTr="002A0E40">
        <w:trPr>
          <w:trHeight w:val="53"/>
        </w:trPr>
        <w:tc>
          <w:tcPr>
            <w:tcW w:w="471" w:type="pct"/>
            <w:vMerge/>
          </w:tcPr>
          <w:p w14:paraId="544B6BB7"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6C701CED" w14:textId="77777777" w:rsidR="00690701" w:rsidRPr="00532B85" w:rsidRDefault="00690701">
            <w:pPr>
              <w:spacing w:before="60" w:after="60" w:line="240" w:lineRule="auto"/>
              <w:jc w:val="left"/>
              <w:rPr>
                <w:sz w:val="20"/>
                <w:szCs w:val="20"/>
              </w:rPr>
            </w:pPr>
            <w:r w:rsidRPr="00532B85">
              <w:rPr>
                <w:sz w:val="20"/>
                <w:szCs w:val="20"/>
              </w:rPr>
              <w:t>56</w:t>
            </w:r>
          </w:p>
        </w:tc>
        <w:tc>
          <w:tcPr>
            <w:tcW w:w="1222" w:type="pct"/>
            <w:vAlign w:val="center"/>
          </w:tcPr>
          <w:p w14:paraId="24129AF3" w14:textId="77777777" w:rsidR="00690701" w:rsidRPr="008D4980" w:rsidRDefault="00690701">
            <w:pPr>
              <w:spacing w:before="60" w:after="60" w:line="240" w:lineRule="auto"/>
              <w:jc w:val="left"/>
              <w:rPr>
                <w:b/>
                <w:sz w:val="20"/>
                <w:szCs w:val="20"/>
              </w:rPr>
            </w:pPr>
            <w:r w:rsidRPr="008D4980">
              <w:rPr>
                <w:b/>
                <w:sz w:val="20"/>
                <w:szCs w:val="20"/>
              </w:rPr>
              <w:t>Somalia</w:t>
            </w:r>
          </w:p>
        </w:tc>
        <w:tc>
          <w:tcPr>
            <w:tcW w:w="987" w:type="pct"/>
            <w:vAlign w:val="center"/>
          </w:tcPr>
          <w:p w14:paraId="78CF10A6" w14:textId="77777777" w:rsidR="00690701" w:rsidRPr="00532B85" w:rsidRDefault="00690701">
            <w:pPr>
              <w:spacing w:before="60" w:after="60" w:line="240" w:lineRule="auto"/>
              <w:jc w:val="left"/>
              <w:rPr>
                <w:sz w:val="20"/>
                <w:szCs w:val="20"/>
              </w:rPr>
            </w:pPr>
            <w:r w:rsidRPr="00532B85">
              <w:rPr>
                <w:sz w:val="20"/>
                <w:szCs w:val="20"/>
              </w:rPr>
              <w:t>Nigeria</w:t>
            </w:r>
          </w:p>
        </w:tc>
        <w:tc>
          <w:tcPr>
            <w:tcW w:w="664" w:type="pct"/>
            <w:vAlign w:val="center"/>
          </w:tcPr>
          <w:p w14:paraId="3ABEAF3C"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40555F3F" w14:textId="77777777" w:rsidR="00690701" w:rsidRPr="00040F91" w:rsidRDefault="00690701">
            <w:pPr>
              <w:spacing w:before="60" w:after="60" w:line="240" w:lineRule="auto"/>
              <w:jc w:val="left"/>
              <w:rPr>
                <w:sz w:val="20"/>
                <w:szCs w:val="20"/>
              </w:rPr>
            </w:pPr>
            <w:r w:rsidRPr="00040F91">
              <w:rPr>
                <w:sz w:val="20"/>
                <w:szCs w:val="20"/>
              </w:rPr>
              <w:t>Readiness phase ongoing</w:t>
            </w:r>
          </w:p>
        </w:tc>
      </w:tr>
      <w:tr w:rsidR="00690701" w:rsidRPr="00532B85" w14:paraId="51B107FD" w14:textId="77777777" w:rsidTr="002A0E40">
        <w:trPr>
          <w:trHeight w:val="53"/>
        </w:trPr>
        <w:tc>
          <w:tcPr>
            <w:tcW w:w="471" w:type="pct"/>
            <w:vMerge/>
          </w:tcPr>
          <w:p w14:paraId="2D6DBE7A"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663109F6" w14:textId="77777777" w:rsidR="00690701" w:rsidRPr="00532B85" w:rsidRDefault="00690701">
            <w:pPr>
              <w:spacing w:before="60" w:after="60" w:line="240" w:lineRule="auto"/>
              <w:jc w:val="left"/>
              <w:rPr>
                <w:sz w:val="20"/>
                <w:szCs w:val="20"/>
              </w:rPr>
            </w:pPr>
            <w:r w:rsidRPr="00532B85">
              <w:rPr>
                <w:sz w:val="20"/>
                <w:szCs w:val="20"/>
              </w:rPr>
              <w:t>57</w:t>
            </w:r>
          </w:p>
        </w:tc>
        <w:tc>
          <w:tcPr>
            <w:tcW w:w="1222" w:type="pct"/>
            <w:vAlign w:val="center"/>
          </w:tcPr>
          <w:p w14:paraId="025812B0" w14:textId="77777777" w:rsidR="00690701" w:rsidRPr="008D4980" w:rsidRDefault="00690701">
            <w:pPr>
              <w:spacing w:before="60" w:after="60" w:line="240" w:lineRule="auto"/>
              <w:jc w:val="left"/>
              <w:rPr>
                <w:b/>
                <w:sz w:val="20"/>
                <w:szCs w:val="20"/>
              </w:rPr>
            </w:pPr>
            <w:r w:rsidRPr="008D4980">
              <w:rPr>
                <w:b/>
                <w:sz w:val="20"/>
                <w:szCs w:val="20"/>
              </w:rPr>
              <w:t>Suriname</w:t>
            </w:r>
          </w:p>
        </w:tc>
        <w:tc>
          <w:tcPr>
            <w:tcW w:w="987" w:type="pct"/>
            <w:vAlign w:val="center"/>
          </w:tcPr>
          <w:p w14:paraId="07D1A822" w14:textId="77777777" w:rsidR="00690701" w:rsidRPr="00532B85" w:rsidRDefault="00690701">
            <w:pPr>
              <w:spacing w:before="60" w:after="60" w:line="240" w:lineRule="auto"/>
              <w:jc w:val="left"/>
              <w:rPr>
                <w:sz w:val="20"/>
                <w:szCs w:val="20"/>
              </w:rPr>
            </w:pPr>
            <w:r w:rsidRPr="00532B85">
              <w:rPr>
                <w:sz w:val="20"/>
                <w:szCs w:val="20"/>
              </w:rPr>
              <w:t>Netherlands</w:t>
            </w:r>
          </w:p>
        </w:tc>
        <w:tc>
          <w:tcPr>
            <w:tcW w:w="664" w:type="pct"/>
            <w:vAlign w:val="center"/>
          </w:tcPr>
          <w:p w14:paraId="112BCAB1" w14:textId="77777777" w:rsidR="00690701" w:rsidRPr="00532B85" w:rsidRDefault="00690701">
            <w:pPr>
              <w:spacing w:before="60" w:after="60" w:line="240" w:lineRule="auto"/>
              <w:jc w:val="left"/>
              <w:rPr>
                <w:sz w:val="20"/>
                <w:szCs w:val="20"/>
              </w:rPr>
            </w:pPr>
            <w:r w:rsidRPr="00532B85">
              <w:rPr>
                <w:sz w:val="20"/>
                <w:szCs w:val="20"/>
              </w:rPr>
              <w:t>UNDP</w:t>
            </w:r>
          </w:p>
        </w:tc>
        <w:tc>
          <w:tcPr>
            <w:tcW w:w="1410" w:type="pct"/>
            <w:vAlign w:val="center"/>
          </w:tcPr>
          <w:p w14:paraId="580BA475" w14:textId="102436C6" w:rsidR="00690701" w:rsidRPr="00040F91" w:rsidRDefault="00B71F0A">
            <w:pPr>
              <w:spacing w:before="60" w:after="60" w:line="240" w:lineRule="auto"/>
              <w:jc w:val="left"/>
              <w:rPr>
                <w:sz w:val="20"/>
                <w:szCs w:val="20"/>
              </w:rPr>
            </w:pPr>
            <w:r w:rsidRPr="00040F91">
              <w:rPr>
                <w:sz w:val="20"/>
                <w:szCs w:val="20"/>
              </w:rPr>
              <w:t xml:space="preserve">Investment funding request </w:t>
            </w:r>
            <w:r>
              <w:rPr>
                <w:sz w:val="20"/>
                <w:szCs w:val="20"/>
              </w:rPr>
              <w:t>to be considered for pipeline</w:t>
            </w:r>
          </w:p>
        </w:tc>
      </w:tr>
      <w:tr w:rsidR="00690701" w:rsidRPr="00532B85" w14:paraId="77EF7E17" w14:textId="77777777" w:rsidTr="002A0E40">
        <w:trPr>
          <w:trHeight w:val="53"/>
        </w:trPr>
        <w:tc>
          <w:tcPr>
            <w:tcW w:w="471" w:type="pct"/>
            <w:vMerge/>
          </w:tcPr>
          <w:p w14:paraId="0F8C513A"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1514C928" w14:textId="77777777" w:rsidR="00690701" w:rsidRPr="00532B85" w:rsidRDefault="00690701">
            <w:pPr>
              <w:spacing w:before="60" w:after="60" w:line="240" w:lineRule="auto"/>
              <w:jc w:val="left"/>
              <w:rPr>
                <w:sz w:val="20"/>
                <w:szCs w:val="20"/>
              </w:rPr>
            </w:pPr>
            <w:r w:rsidRPr="00532B85">
              <w:rPr>
                <w:sz w:val="20"/>
                <w:szCs w:val="20"/>
              </w:rPr>
              <w:t>58</w:t>
            </w:r>
          </w:p>
        </w:tc>
        <w:tc>
          <w:tcPr>
            <w:tcW w:w="1222" w:type="pct"/>
            <w:vAlign w:val="center"/>
          </w:tcPr>
          <w:p w14:paraId="5975C804" w14:textId="77777777" w:rsidR="00690701" w:rsidRPr="008D4980" w:rsidRDefault="00690701">
            <w:pPr>
              <w:spacing w:before="60" w:after="60" w:line="240" w:lineRule="auto"/>
              <w:jc w:val="left"/>
              <w:rPr>
                <w:b/>
                <w:sz w:val="20"/>
                <w:szCs w:val="20"/>
              </w:rPr>
            </w:pPr>
            <w:r w:rsidRPr="008D4980">
              <w:rPr>
                <w:b/>
                <w:sz w:val="20"/>
                <w:szCs w:val="20"/>
              </w:rPr>
              <w:t>Tajikistan</w:t>
            </w:r>
          </w:p>
        </w:tc>
        <w:tc>
          <w:tcPr>
            <w:tcW w:w="987" w:type="pct"/>
            <w:vAlign w:val="center"/>
          </w:tcPr>
          <w:p w14:paraId="16871C0B"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584B9CA0" w14:textId="77777777" w:rsidR="00690701" w:rsidRPr="00532B85" w:rsidRDefault="00690701">
            <w:pPr>
              <w:spacing w:before="60" w:after="60" w:line="240" w:lineRule="auto"/>
              <w:jc w:val="left"/>
              <w:rPr>
                <w:sz w:val="20"/>
                <w:szCs w:val="20"/>
              </w:rPr>
            </w:pPr>
            <w:r w:rsidRPr="00532B85">
              <w:rPr>
                <w:sz w:val="20"/>
                <w:szCs w:val="20"/>
              </w:rPr>
              <w:t>World Bank</w:t>
            </w:r>
          </w:p>
        </w:tc>
        <w:tc>
          <w:tcPr>
            <w:tcW w:w="1410" w:type="pct"/>
            <w:vAlign w:val="center"/>
          </w:tcPr>
          <w:p w14:paraId="67C47CAA" w14:textId="77777777" w:rsidR="00690701" w:rsidRPr="00532B85" w:rsidRDefault="00690701">
            <w:pPr>
              <w:spacing w:before="60" w:after="60" w:line="240" w:lineRule="auto"/>
              <w:jc w:val="left"/>
              <w:rPr>
                <w:sz w:val="20"/>
                <w:szCs w:val="20"/>
              </w:rPr>
            </w:pPr>
            <w:r w:rsidRPr="00532B85">
              <w:rPr>
                <w:sz w:val="20"/>
                <w:szCs w:val="20"/>
              </w:rPr>
              <w:t>Readiness phase ongoing</w:t>
            </w:r>
          </w:p>
        </w:tc>
      </w:tr>
      <w:tr w:rsidR="00690701" w:rsidRPr="00532B85" w14:paraId="7AE56A90" w14:textId="77777777" w:rsidTr="002A0E40">
        <w:trPr>
          <w:trHeight w:val="53"/>
        </w:trPr>
        <w:tc>
          <w:tcPr>
            <w:tcW w:w="471" w:type="pct"/>
            <w:vMerge/>
          </w:tcPr>
          <w:p w14:paraId="39C52D9E"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5C73EA93" w14:textId="77777777" w:rsidR="00690701" w:rsidRPr="00532B85" w:rsidRDefault="00690701">
            <w:pPr>
              <w:spacing w:before="60" w:after="60" w:line="240" w:lineRule="auto"/>
              <w:jc w:val="left"/>
              <w:rPr>
                <w:sz w:val="20"/>
                <w:szCs w:val="20"/>
              </w:rPr>
            </w:pPr>
            <w:r w:rsidRPr="00532B85">
              <w:rPr>
                <w:sz w:val="20"/>
                <w:szCs w:val="20"/>
              </w:rPr>
              <w:t>59</w:t>
            </w:r>
          </w:p>
        </w:tc>
        <w:tc>
          <w:tcPr>
            <w:tcW w:w="1222" w:type="pct"/>
            <w:vAlign w:val="center"/>
          </w:tcPr>
          <w:p w14:paraId="65FB03FC" w14:textId="77777777" w:rsidR="00690701" w:rsidRPr="008D4980" w:rsidRDefault="00690701">
            <w:pPr>
              <w:spacing w:before="60" w:after="60" w:line="240" w:lineRule="auto"/>
              <w:jc w:val="left"/>
              <w:rPr>
                <w:b/>
                <w:sz w:val="20"/>
                <w:szCs w:val="20"/>
              </w:rPr>
            </w:pPr>
            <w:r w:rsidRPr="008D4980">
              <w:rPr>
                <w:b/>
                <w:sz w:val="20"/>
                <w:szCs w:val="20"/>
              </w:rPr>
              <w:t>Trinidad and Tobago</w:t>
            </w:r>
          </w:p>
        </w:tc>
        <w:tc>
          <w:tcPr>
            <w:tcW w:w="987" w:type="pct"/>
            <w:vAlign w:val="center"/>
          </w:tcPr>
          <w:p w14:paraId="69D4BAAD" w14:textId="77777777" w:rsidR="00690701" w:rsidRPr="00532B85" w:rsidRDefault="00690701">
            <w:pPr>
              <w:spacing w:before="60" w:after="60" w:line="240" w:lineRule="auto"/>
              <w:jc w:val="left"/>
              <w:rPr>
                <w:sz w:val="20"/>
                <w:szCs w:val="20"/>
              </w:rPr>
            </w:pPr>
            <w:r w:rsidRPr="00532B85">
              <w:rPr>
                <w:sz w:val="20"/>
                <w:szCs w:val="20"/>
              </w:rPr>
              <w:t>Finland</w:t>
            </w:r>
          </w:p>
        </w:tc>
        <w:tc>
          <w:tcPr>
            <w:tcW w:w="664" w:type="pct"/>
            <w:vAlign w:val="center"/>
          </w:tcPr>
          <w:p w14:paraId="210A80C7"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2AFB046C" w14:textId="77777777" w:rsidR="00690701" w:rsidRPr="00532B85" w:rsidRDefault="00690701">
            <w:pPr>
              <w:spacing w:before="60" w:after="60" w:line="240" w:lineRule="auto"/>
              <w:jc w:val="left"/>
              <w:rPr>
                <w:sz w:val="20"/>
                <w:szCs w:val="20"/>
              </w:rPr>
            </w:pPr>
            <w:r w:rsidRPr="00532B85">
              <w:rPr>
                <w:sz w:val="20"/>
                <w:szCs w:val="20"/>
              </w:rPr>
              <w:t>Readiness phase ongoing</w:t>
            </w:r>
          </w:p>
        </w:tc>
      </w:tr>
      <w:tr w:rsidR="00690701" w:rsidRPr="00532B85" w14:paraId="3122B7DE" w14:textId="77777777" w:rsidTr="002A0E40">
        <w:trPr>
          <w:trHeight w:val="53"/>
        </w:trPr>
        <w:tc>
          <w:tcPr>
            <w:tcW w:w="471" w:type="pct"/>
            <w:vMerge/>
          </w:tcPr>
          <w:p w14:paraId="4E361384"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0B979CE0" w14:textId="77777777" w:rsidR="00690701" w:rsidRPr="00532B85" w:rsidRDefault="00690701">
            <w:pPr>
              <w:spacing w:before="60" w:after="60" w:line="240" w:lineRule="auto"/>
              <w:jc w:val="left"/>
              <w:rPr>
                <w:sz w:val="20"/>
                <w:szCs w:val="20"/>
              </w:rPr>
            </w:pPr>
            <w:r w:rsidRPr="00532B85">
              <w:rPr>
                <w:sz w:val="20"/>
                <w:szCs w:val="20"/>
              </w:rPr>
              <w:t>60</w:t>
            </w:r>
          </w:p>
        </w:tc>
        <w:tc>
          <w:tcPr>
            <w:tcW w:w="1222" w:type="pct"/>
            <w:vAlign w:val="center"/>
          </w:tcPr>
          <w:p w14:paraId="526A02C2" w14:textId="77777777" w:rsidR="00690701" w:rsidRPr="008D4980" w:rsidRDefault="00690701">
            <w:pPr>
              <w:spacing w:before="60" w:after="60" w:line="240" w:lineRule="auto"/>
              <w:jc w:val="left"/>
              <w:rPr>
                <w:b/>
                <w:sz w:val="20"/>
                <w:szCs w:val="20"/>
              </w:rPr>
            </w:pPr>
            <w:r w:rsidRPr="008D4980">
              <w:rPr>
                <w:b/>
                <w:sz w:val="20"/>
                <w:szCs w:val="20"/>
              </w:rPr>
              <w:t>Haiti</w:t>
            </w:r>
          </w:p>
        </w:tc>
        <w:tc>
          <w:tcPr>
            <w:tcW w:w="987" w:type="pct"/>
            <w:vAlign w:val="center"/>
          </w:tcPr>
          <w:p w14:paraId="47F8ADF5" w14:textId="77777777" w:rsidR="00690701" w:rsidRPr="00532B85" w:rsidRDefault="00690701">
            <w:pPr>
              <w:spacing w:before="60" w:after="60" w:line="240" w:lineRule="auto"/>
              <w:jc w:val="left"/>
              <w:rPr>
                <w:sz w:val="20"/>
                <w:szCs w:val="20"/>
              </w:rPr>
            </w:pPr>
            <w:r w:rsidRPr="00532B85">
              <w:rPr>
                <w:sz w:val="20"/>
                <w:szCs w:val="20"/>
              </w:rPr>
              <w:t>Switzerland</w:t>
            </w:r>
          </w:p>
        </w:tc>
        <w:tc>
          <w:tcPr>
            <w:tcW w:w="664" w:type="pct"/>
            <w:vAlign w:val="center"/>
          </w:tcPr>
          <w:p w14:paraId="2A3675E8" w14:textId="77777777" w:rsidR="00690701" w:rsidRPr="00532B85" w:rsidRDefault="00690701">
            <w:pPr>
              <w:spacing w:before="60" w:after="60" w:line="240" w:lineRule="auto"/>
              <w:jc w:val="left"/>
              <w:rPr>
                <w:sz w:val="20"/>
                <w:szCs w:val="20"/>
              </w:rPr>
            </w:pPr>
            <w:r w:rsidRPr="00532B85">
              <w:rPr>
                <w:sz w:val="20"/>
                <w:szCs w:val="20"/>
              </w:rPr>
              <w:t>IADB</w:t>
            </w:r>
          </w:p>
        </w:tc>
        <w:tc>
          <w:tcPr>
            <w:tcW w:w="1410" w:type="pct"/>
            <w:vAlign w:val="center"/>
          </w:tcPr>
          <w:p w14:paraId="06562053" w14:textId="77777777" w:rsidR="00690701" w:rsidRPr="00532B85" w:rsidRDefault="00690701">
            <w:pPr>
              <w:spacing w:before="60" w:after="60" w:line="240" w:lineRule="auto"/>
              <w:jc w:val="left"/>
              <w:rPr>
                <w:sz w:val="20"/>
                <w:szCs w:val="20"/>
              </w:rPr>
            </w:pPr>
            <w:r w:rsidRPr="00532B85">
              <w:rPr>
                <w:sz w:val="20"/>
                <w:szCs w:val="20"/>
              </w:rPr>
              <w:t>Readiness phase ongoing</w:t>
            </w:r>
          </w:p>
        </w:tc>
      </w:tr>
      <w:tr w:rsidR="00690701" w:rsidRPr="00532B85" w14:paraId="2D0BDBB0" w14:textId="77777777" w:rsidTr="002A0E40">
        <w:trPr>
          <w:trHeight w:val="53"/>
        </w:trPr>
        <w:tc>
          <w:tcPr>
            <w:tcW w:w="471" w:type="pct"/>
            <w:shd w:val="clear" w:color="auto" w:fill="C3D3EA" w:themeFill="accent1" w:themeFillTint="33"/>
          </w:tcPr>
          <w:p w14:paraId="1BF47D78" w14:textId="77777777" w:rsidR="00690701" w:rsidRPr="00532B85" w:rsidRDefault="00690701">
            <w:pPr>
              <w:spacing w:before="60" w:after="60" w:line="240" w:lineRule="auto"/>
              <w:jc w:val="left"/>
              <w:rPr>
                <w:sz w:val="20"/>
                <w:szCs w:val="20"/>
              </w:rPr>
            </w:pPr>
          </w:p>
        </w:tc>
        <w:tc>
          <w:tcPr>
            <w:tcW w:w="247" w:type="pct"/>
            <w:shd w:val="clear" w:color="auto" w:fill="C3D3EA" w:themeFill="accent1" w:themeFillTint="33"/>
            <w:vAlign w:val="center"/>
          </w:tcPr>
          <w:p w14:paraId="0D7E1274" w14:textId="77777777" w:rsidR="00690701" w:rsidRPr="00532B85" w:rsidRDefault="00690701">
            <w:pPr>
              <w:spacing w:before="60" w:after="60" w:line="240" w:lineRule="auto"/>
              <w:jc w:val="left"/>
              <w:rPr>
                <w:sz w:val="20"/>
                <w:szCs w:val="20"/>
              </w:rPr>
            </w:pPr>
            <w:r>
              <w:rPr>
                <w:sz w:val="20"/>
                <w:szCs w:val="20"/>
              </w:rPr>
              <w:t>61</w:t>
            </w:r>
          </w:p>
        </w:tc>
        <w:tc>
          <w:tcPr>
            <w:tcW w:w="1222" w:type="pct"/>
            <w:vAlign w:val="center"/>
          </w:tcPr>
          <w:p w14:paraId="3896A5E9" w14:textId="77777777" w:rsidR="00690701" w:rsidRPr="008D4980" w:rsidRDefault="00690701">
            <w:pPr>
              <w:spacing w:before="60" w:after="60" w:line="240" w:lineRule="auto"/>
              <w:jc w:val="left"/>
              <w:rPr>
                <w:b/>
                <w:sz w:val="20"/>
                <w:szCs w:val="20"/>
              </w:rPr>
            </w:pPr>
            <w:r w:rsidRPr="008D4980">
              <w:rPr>
                <w:b/>
                <w:sz w:val="20"/>
                <w:szCs w:val="20"/>
              </w:rPr>
              <w:t>Sierra Leone</w:t>
            </w:r>
          </w:p>
        </w:tc>
        <w:tc>
          <w:tcPr>
            <w:tcW w:w="987" w:type="pct"/>
            <w:vAlign w:val="center"/>
          </w:tcPr>
          <w:p w14:paraId="0667B736" w14:textId="77777777" w:rsidR="00690701" w:rsidRPr="00532B85" w:rsidRDefault="00690701">
            <w:pPr>
              <w:spacing w:before="60" w:after="60" w:line="240" w:lineRule="auto"/>
              <w:jc w:val="left"/>
              <w:rPr>
                <w:sz w:val="20"/>
                <w:szCs w:val="20"/>
              </w:rPr>
            </w:pPr>
            <w:r>
              <w:rPr>
                <w:sz w:val="20"/>
                <w:szCs w:val="20"/>
              </w:rPr>
              <w:t>Austria - Germany</w:t>
            </w:r>
          </w:p>
        </w:tc>
        <w:tc>
          <w:tcPr>
            <w:tcW w:w="664" w:type="pct"/>
            <w:vAlign w:val="center"/>
          </w:tcPr>
          <w:p w14:paraId="53EC44BE" w14:textId="77777777" w:rsidR="00690701" w:rsidRPr="00532B85" w:rsidRDefault="00690701">
            <w:pPr>
              <w:spacing w:before="60" w:after="60" w:line="240" w:lineRule="auto"/>
              <w:jc w:val="left"/>
              <w:rPr>
                <w:sz w:val="20"/>
                <w:szCs w:val="20"/>
              </w:rPr>
            </w:pPr>
            <w:r>
              <w:rPr>
                <w:sz w:val="20"/>
                <w:szCs w:val="20"/>
              </w:rPr>
              <w:t>WFP</w:t>
            </w:r>
          </w:p>
        </w:tc>
        <w:tc>
          <w:tcPr>
            <w:tcW w:w="1410" w:type="pct"/>
            <w:vAlign w:val="center"/>
          </w:tcPr>
          <w:p w14:paraId="2A161AB8" w14:textId="77777777" w:rsidR="00690701" w:rsidRPr="00532B85" w:rsidRDefault="00690701">
            <w:pPr>
              <w:spacing w:before="60" w:after="60" w:line="240" w:lineRule="auto"/>
              <w:jc w:val="left"/>
              <w:rPr>
                <w:sz w:val="20"/>
                <w:szCs w:val="20"/>
              </w:rPr>
            </w:pPr>
            <w:r w:rsidRPr="00532B85">
              <w:rPr>
                <w:sz w:val="20"/>
                <w:szCs w:val="20"/>
              </w:rPr>
              <w:t>Readiness phase ongoing</w:t>
            </w:r>
          </w:p>
        </w:tc>
      </w:tr>
      <w:tr w:rsidR="00690701" w:rsidRPr="00532B85" w14:paraId="59AE6DD6" w14:textId="77777777" w:rsidTr="002A0E40">
        <w:trPr>
          <w:trHeight w:val="53"/>
        </w:trPr>
        <w:tc>
          <w:tcPr>
            <w:tcW w:w="471" w:type="pct"/>
            <w:vMerge w:val="restart"/>
          </w:tcPr>
          <w:p w14:paraId="3AF7B66B" w14:textId="77777777" w:rsidR="00690701" w:rsidRPr="00532B85" w:rsidRDefault="00690701">
            <w:pPr>
              <w:spacing w:before="60" w:after="60" w:line="240" w:lineRule="auto"/>
              <w:jc w:val="left"/>
              <w:rPr>
                <w:sz w:val="20"/>
                <w:szCs w:val="20"/>
                <w:lang w:eastAsia="ko-KR"/>
              </w:rPr>
            </w:pPr>
          </w:p>
        </w:tc>
        <w:tc>
          <w:tcPr>
            <w:tcW w:w="247" w:type="pct"/>
            <w:vAlign w:val="center"/>
          </w:tcPr>
          <w:p w14:paraId="4C1E0BA6" w14:textId="77777777" w:rsidR="00690701" w:rsidRPr="00532B85" w:rsidRDefault="00690701">
            <w:pPr>
              <w:spacing w:before="60" w:after="60" w:line="240" w:lineRule="auto"/>
              <w:jc w:val="left"/>
              <w:rPr>
                <w:sz w:val="20"/>
                <w:szCs w:val="20"/>
              </w:rPr>
            </w:pPr>
            <w:r w:rsidRPr="00532B85">
              <w:rPr>
                <w:sz w:val="20"/>
                <w:szCs w:val="20"/>
              </w:rPr>
              <w:t>6</w:t>
            </w:r>
            <w:r>
              <w:rPr>
                <w:sz w:val="20"/>
                <w:szCs w:val="20"/>
              </w:rPr>
              <w:t>2</w:t>
            </w:r>
          </w:p>
        </w:tc>
        <w:tc>
          <w:tcPr>
            <w:tcW w:w="1222" w:type="pct"/>
            <w:vAlign w:val="center"/>
          </w:tcPr>
          <w:p w14:paraId="37B1C4E9" w14:textId="77777777" w:rsidR="00690701" w:rsidRPr="008D4980" w:rsidRDefault="00690701">
            <w:pPr>
              <w:spacing w:before="60" w:after="60" w:line="240" w:lineRule="auto"/>
              <w:jc w:val="left"/>
              <w:rPr>
                <w:b/>
                <w:sz w:val="20"/>
                <w:szCs w:val="20"/>
              </w:rPr>
            </w:pPr>
            <w:r w:rsidRPr="008D4980">
              <w:rPr>
                <w:b/>
                <w:sz w:val="20"/>
                <w:szCs w:val="20"/>
              </w:rPr>
              <w:t>Sudan</w:t>
            </w:r>
          </w:p>
        </w:tc>
        <w:tc>
          <w:tcPr>
            <w:tcW w:w="987" w:type="pct"/>
            <w:vAlign w:val="center"/>
          </w:tcPr>
          <w:p w14:paraId="39DBDDCF" w14:textId="77777777" w:rsidR="00690701" w:rsidRPr="00532B85" w:rsidRDefault="00690701">
            <w:pPr>
              <w:spacing w:before="60" w:after="60" w:line="240" w:lineRule="auto"/>
              <w:rPr>
                <w:sz w:val="20"/>
                <w:szCs w:val="20"/>
              </w:rPr>
            </w:pPr>
            <w:r>
              <w:rPr>
                <w:sz w:val="20"/>
                <w:szCs w:val="20"/>
              </w:rPr>
              <w:t>-</w:t>
            </w:r>
          </w:p>
        </w:tc>
        <w:tc>
          <w:tcPr>
            <w:tcW w:w="664" w:type="pct"/>
            <w:vAlign w:val="center"/>
          </w:tcPr>
          <w:p w14:paraId="42D92CC2" w14:textId="77777777" w:rsidR="00690701" w:rsidRPr="00532B85" w:rsidRDefault="00690701">
            <w:pPr>
              <w:spacing w:before="60" w:after="60" w:line="240" w:lineRule="auto"/>
              <w:rPr>
                <w:sz w:val="20"/>
                <w:szCs w:val="20"/>
              </w:rPr>
            </w:pPr>
            <w:r>
              <w:rPr>
                <w:sz w:val="20"/>
                <w:szCs w:val="20"/>
              </w:rPr>
              <w:t>-</w:t>
            </w:r>
          </w:p>
        </w:tc>
        <w:tc>
          <w:tcPr>
            <w:tcW w:w="1410" w:type="pct"/>
            <w:vAlign w:val="center"/>
          </w:tcPr>
          <w:p w14:paraId="2096F129" w14:textId="77777777" w:rsidR="00690701" w:rsidRPr="00532B85" w:rsidRDefault="00690701">
            <w:pPr>
              <w:spacing w:before="60" w:after="60" w:line="240" w:lineRule="auto"/>
              <w:jc w:val="left"/>
              <w:rPr>
                <w:sz w:val="20"/>
                <w:szCs w:val="20"/>
              </w:rPr>
            </w:pPr>
            <w:r w:rsidRPr="00532B85">
              <w:rPr>
                <w:sz w:val="20"/>
                <w:szCs w:val="20"/>
              </w:rPr>
              <w:t>Readiness phase on hold</w:t>
            </w:r>
          </w:p>
        </w:tc>
      </w:tr>
      <w:tr w:rsidR="00690701" w:rsidRPr="00532B85" w14:paraId="0EF223AA" w14:textId="77777777" w:rsidTr="002A0E40">
        <w:trPr>
          <w:trHeight w:val="70"/>
        </w:trPr>
        <w:tc>
          <w:tcPr>
            <w:tcW w:w="471" w:type="pct"/>
            <w:vMerge/>
          </w:tcPr>
          <w:p w14:paraId="13B89093" w14:textId="77777777" w:rsidR="00690701" w:rsidRPr="00532B85" w:rsidRDefault="00690701">
            <w:pPr>
              <w:spacing w:before="60" w:after="60" w:line="240" w:lineRule="auto"/>
              <w:jc w:val="left"/>
              <w:rPr>
                <w:sz w:val="20"/>
                <w:szCs w:val="20"/>
              </w:rPr>
            </w:pPr>
          </w:p>
        </w:tc>
        <w:tc>
          <w:tcPr>
            <w:tcW w:w="247" w:type="pct"/>
            <w:vAlign w:val="center"/>
          </w:tcPr>
          <w:p w14:paraId="2A8F051C" w14:textId="77777777" w:rsidR="00690701" w:rsidRPr="00532B85" w:rsidRDefault="00690701">
            <w:pPr>
              <w:spacing w:before="60" w:after="60" w:line="240" w:lineRule="auto"/>
              <w:jc w:val="left"/>
              <w:rPr>
                <w:sz w:val="20"/>
                <w:szCs w:val="20"/>
              </w:rPr>
            </w:pPr>
            <w:r w:rsidRPr="00532B85">
              <w:rPr>
                <w:sz w:val="20"/>
                <w:szCs w:val="20"/>
              </w:rPr>
              <w:t>63</w:t>
            </w:r>
          </w:p>
        </w:tc>
        <w:tc>
          <w:tcPr>
            <w:tcW w:w="1222" w:type="pct"/>
            <w:vAlign w:val="center"/>
          </w:tcPr>
          <w:p w14:paraId="4BC3D55E" w14:textId="77777777" w:rsidR="00690701" w:rsidRPr="008D4980" w:rsidRDefault="00690701">
            <w:pPr>
              <w:spacing w:before="60" w:after="60" w:line="240" w:lineRule="auto"/>
              <w:jc w:val="left"/>
              <w:rPr>
                <w:b/>
                <w:sz w:val="20"/>
                <w:szCs w:val="20"/>
              </w:rPr>
            </w:pPr>
            <w:r w:rsidRPr="008D4980">
              <w:rPr>
                <w:b/>
                <w:sz w:val="20"/>
                <w:szCs w:val="20"/>
              </w:rPr>
              <w:t>Guatemala</w:t>
            </w:r>
          </w:p>
        </w:tc>
        <w:tc>
          <w:tcPr>
            <w:tcW w:w="987" w:type="pct"/>
            <w:vAlign w:val="center"/>
          </w:tcPr>
          <w:p w14:paraId="32DD5AF4" w14:textId="77777777" w:rsidR="00690701" w:rsidRPr="00532B85" w:rsidRDefault="00690701">
            <w:pPr>
              <w:spacing w:before="60" w:after="60" w:line="240" w:lineRule="auto"/>
              <w:rPr>
                <w:sz w:val="20"/>
                <w:szCs w:val="20"/>
              </w:rPr>
            </w:pPr>
            <w:r>
              <w:rPr>
                <w:sz w:val="20"/>
                <w:szCs w:val="20"/>
              </w:rPr>
              <w:t>-</w:t>
            </w:r>
          </w:p>
        </w:tc>
        <w:tc>
          <w:tcPr>
            <w:tcW w:w="664" w:type="pct"/>
            <w:vAlign w:val="center"/>
          </w:tcPr>
          <w:p w14:paraId="70F71A61" w14:textId="77777777" w:rsidR="00690701" w:rsidRPr="00532B85" w:rsidRDefault="00690701">
            <w:pPr>
              <w:spacing w:before="60" w:after="60" w:line="240" w:lineRule="auto"/>
              <w:rPr>
                <w:sz w:val="20"/>
                <w:szCs w:val="20"/>
              </w:rPr>
            </w:pPr>
            <w:r>
              <w:rPr>
                <w:sz w:val="20"/>
                <w:szCs w:val="20"/>
              </w:rPr>
              <w:t>-</w:t>
            </w:r>
          </w:p>
        </w:tc>
        <w:tc>
          <w:tcPr>
            <w:tcW w:w="1410" w:type="pct"/>
            <w:vAlign w:val="center"/>
          </w:tcPr>
          <w:p w14:paraId="52BBEFFA" w14:textId="77777777" w:rsidR="00690701" w:rsidRPr="00532B85" w:rsidRDefault="00690701">
            <w:pPr>
              <w:spacing w:before="60" w:after="60" w:line="240" w:lineRule="auto"/>
              <w:jc w:val="left"/>
              <w:rPr>
                <w:sz w:val="20"/>
                <w:szCs w:val="20"/>
              </w:rPr>
            </w:pPr>
            <w:r w:rsidRPr="00532B85">
              <w:rPr>
                <w:sz w:val="20"/>
                <w:szCs w:val="20"/>
              </w:rPr>
              <w:t>Readiness phase programmed</w:t>
            </w:r>
          </w:p>
        </w:tc>
      </w:tr>
      <w:tr w:rsidR="00690701" w:rsidRPr="00532B85" w14:paraId="38EF18A4" w14:textId="77777777" w:rsidTr="002A0E40">
        <w:trPr>
          <w:trHeight w:val="53"/>
        </w:trPr>
        <w:tc>
          <w:tcPr>
            <w:tcW w:w="471" w:type="pct"/>
            <w:vMerge/>
          </w:tcPr>
          <w:p w14:paraId="7A4EDC10" w14:textId="77777777" w:rsidR="00690701" w:rsidRPr="00532B85" w:rsidRDefault="00690701">
            <w:pPr>
              <w:spacing w:before="60" w:after="60" w:line="240" w:lineRule="auto"/>
              <w:jc w:val="left"/>
              <w:rPr>
                <w:sz w:val="20"/>
                <w:szCs w:val="20"/>
              </w:rPr>
            </w:pPr>
          </w:p>
        </w:tc>
        <w:tc>
          <w:tcPr>
            <w:tcW w:w="247" w:type="pct"/>
            <w:vAlign w:val="center"/>
          </w:tcPr>
          <w:p w14:paraId="3E5D5191" w14:textId="77777777" w:rsidR="00690701" w:rsidRPr="00532B85" w:rsidRDefault="00690701">
            <w:pPr>
              <w:spacing w:before="60" w:after="60" w:line="240" w:lineRule="auto"/>
              <w:jc w:val="left"/>
              <w:rPr>
                <w:sz w:val="20"/>
                <w:szCs w:val="20"/>
              </w:rPr>
            </w:pPr>
            <w:r w:rsidRPr="00532B85">
              <w:rPr>
                <w:sz w:val="20"/>
                <w:szCs w:val="20"/>
              </w:rPr>
              <w:t>6</w:t>
            </w:r>
            <w:r>
              <w:rPr>
                <w:sz w:val="20"/>
                <w:szCs w:val="20"/>
              </w:rPr>
              <w:t>4</w:t>
            </w:r>
          </w:p>
        </w:tc>
        <w:tc>
          <w:tcPr>
            <w:tcW w:w="1222" w:type="pct"/>
            <w:vAlign w:val="center"/>
          </w:tcPr>
          <w:p w14:paraId="1D0EF5FA" w14:textId="77777777" w:rsidR="00690701" w:rsidRPr="008D4980" w:rsidRDefault="00690701">
            <w:pPr>
              <w:spacing w:before="60" w:after="60" w:line="240" w:lineRule="auto"/>
              <w:jc w:val="left"/>
              <w:rPr>
                <w:b/>
                <w:sz w:val="20"/>
                <w:szCs w:val="20"/>
              </w:rPr>
            </w:pPr>
            <w:r w:rsidRPr="008D4980">
              <w:rPr>
                <w:b/>
                <w:sz w:val="20"/>
                <w:szCs w:val="20"/>
              </w:rPr>
              <w:t>Cook Islands</w:t>
            </w:r>
          </w:p>
        </w:tc>
        <w:tc>
          <w:tcPr>
            <w:tcW w:w="987" w:type="pct"/>
            <w:vAlign w:val="center"/>
          </w:tcPr>
          <w:p w14:paraId="61FF4A8A" w14:textId="77777777" w:rsidR="00690701" w:rsidRPr="00532B85" w:rsidRDefault="00690701">
            <w:pPr>
              <w:spacing w:before="60" w:after="60" w:line="240" w:lineRule="auto"/>
              <w:jc w:val="left"/>
              <w:rPr>
                <w:sz w:val="20"/>
                <w:szCs w:val="20"/>
              </w:rPr>
            </w:pPr>
            <w:r>
              <w:rPr>
                <w:sz w:val="20"/>
                <w:szCs w:val="20"/>
              </w:rPr>
              <w:t>New Zealand</w:t>
            </w:r>
          </w:p>
        </w:tc>
        <w:tc>
          <w:tcPr>
            <w:tcW w:w="664" w:type="pct"/>
            <w:vAlign w:val="center"/>
          </w:tcPr>
          <w:p w14:paraId="19DB7E5B" w14:textId="77777777" w:rsidR="00690701" w:rsidRPr="00532B85" w:rsidRDefault="00690701">
            <w:pPr>
              <w:spacing w:before="60" w:after="60" w:line="240" w:lineRule="auto"/>
              <w:jc w:val="left"/>
              <w:rPr>
                <w:sz w:val="20"/>
                <w:szCs w:val="20"/>
              </w:rPr>
            </w:pPr>
            <w:r>
              <w:rPr>
                <w:sz w:val="20"/>
                <w:szCs w:val="20"/>
              </w:rPr>
              <w:t>UNEP</w:t>
            </w:r>
          </w:p>
        </w:tc>
        <w:tc>
          <w:tcPr>
            <w:tcW w:w="1410" w:type="pct"/>
            <w:vAlign w:val="center"/>
          </w:tcPr>
          <w:p w14:paraId="148B23F5" w14:textId="258DFF5F" w:rsidR="00690701" w:rsidRPr="00532B85" w:rsidRDefault="00E47DBC">
            <w:pPr>
              <w:spacing w:before="60" w:after="60" w:line="240" w:lineRule="auto"/>
              <w:jc w:val="left"/>
              <w:rPr>
                <w:sz w:val="20"/>
                <w:szCs w:val="20"/>
                <w:lang w:eastAsia="ko-KR"/>
              </w:rPr>
            </w:pPr>
            <w:r w:rsidRPr="00E47DBC">
              <w:rPr>
                <w:sz w:val="20"/>
                <w:szCs w:val="20"/>
              </w:rPr>
              <w:t>Readiness phase on hold</w:t>
            </w:r>
          </w:p>
        </w:tc>
      </w:tr>
      <w:tr w:rsidR="00690701" w:rsidRPr="00532B85" w14:paraId="28292C92" w14:textId="77777777" w:rsidTr="002A0E40">
        <w:trPr>
          <w:trHeight w:val="53"/>
        </w:trPr>
        <w:tc>
          <w:tcPr>
            <w:tcW w:w="471" w:type="pct"/>
            <w:vMerge/>
          </w:tcPr>
          <w:p w14:paraId="47910C9E" w14:textId="77777777" w:rsidR="00690701" w:rsidRPr="00532B85" w:rsidRDefault="00690701">
            <w:pPr>
              <w:spacing w:before="60" w:after="60" w:line="240" w:lineRule="auto"/>
              <w:jc w:val="left"/>
              <w:rPr>
                <w:sz w:val="20"/>
                <w:szCs w:val="20"/>
              </w:rPr>
            </w:pPr>
          </w:p>
        </w:tc>
        <w:tc>
          <w:tcPr>
            <w:tcW w:w="247" w:type="pct"/>
            <w:vAlign w:val="center"/>
          </w:tcPr>
          <w:p w14:paraId="229DD65A" w14:textId="77777777" w:rsidR="00690701" w:rsidRPr="00532B85" w:rsidRDefault="00690701">
            <w:pPr>
              <w:spacing w:before="60" w:after="60" w:line="240" w:lineRule="auto"/>
              <w:jc w:val="left"/>
              <w:rPr>
                <w:sz w:val="20"/>
                <w:szCs w:val="20"/>
              </w:rPr>
            </w:pPr>
            <w:r w:rsidRPr="00532B85">
              <w:rPr>
                <w:sz w:val="20"/>
                <w:szCs w:val="20"/>
              </w:rPr>
              <w:t>6</w:t>
            </w:r>
            <w:r>
              <w:rPr>
                <w:sz w:val="20"/>
                <w:szCs w:val="20"/>
              </w:rPr>
              <w:t>5</w:t>
            </w:r>
          </w:p>
        </w:tc>
        <w:tc>
          <w:tcPr>
            <w:tcW w:w="1222" w:type="pct"/>
            <w:vAlign w:val="center"/>
          </w:tcPr>
          <w:p w14:paraId="1C350314" w14:textId="77777777" w:rsidR="00690701" w:rsidRPr="008D4980" w:rsidRDefault="00690701">
            <w:pPr>
              <w:spacing w:before="60" w:after="60" w:line="240" w:lineRule="auto"/>
              <w:jc w:val="left"/>
              <w:rPr>
                <w:b/>
                <w:sz w:val="20"/>
                <w:szCs w:val="20"/>
              </w:rPr>
            </w:pPr>
            <w:r w:rsidRPr="008D4980">
              <w:rPr>
                <w:b/>
                <w:sz w:val="20"/>
                <w:szCs w:val="20"/>
              </w:rPr>
              <w:t>Guinea</w:t>
            </w:r>
          </w:p>
        </w:tc>
        <w:tc>
          <w:tcPr>
            <w:tcW w:w="987" w:type="pct"/>
            <w:vAlign w:val="center"/>
          </w:tcPr>
          <w:p w14:paraId="38C3DB93" w14:textId="77777777" w:rsidR="00690701" w:rsidRPr="00532B85" w:rsidRDefault="00690701">
            <w:pPr>
              <w:spacing w:before="60" w:after="60" w:line="240" w:lineRule="auto"/>
              <w:jc w:val="left"/>
              <w:rPr>
                <w:sz w:val="20"/>
                <w:szCs w:val="20"/>
              </w:rPr>
            </w:pPr>
            <w:r>
              <w:rPr>
                <w:sz w:val="20"/>
                <w:szCs w:val="20"/>
              </w:rPr>
              <w:t>Germany</w:t>
            </w:r>
          </w:p>
        </w:tc>
        <w:tc>
          <w:tcPr>
            <w:tcW w:w="664" w:type="pct"/>
            <w:vAlign w:val="center"/>
          </w:tcPr>
          <w:p w14:paraId="4CCB70EA" w14:textId="77777777" w:rsidR="00690701" w:rsidRPr="00532B85" w:rsidRDefault="00690701">
            <w:pPr>
              <w:spacing w:before="60" w:after="60" w:line="240" w:lineRule="auto"/>
              <w:jc w:val="left"/>
              <w:rPr>
                <w:sz w:val="20"/>
                <w:szCs w:val="20"/>
              </w:rPr>
            </w:pPr>
            <w:r>
              <w:rPr>
                <w:sz w:val="20"/>
                <w:szCs w:val="20"/>
              </w:rPr>
              <w:t>UNDP</w:t>
            </w:r>
          </w:p>
        </w:tc>
        <w:tc>
          <w:tcPr>
            <w:tcW w:w="1410" w:type="pct"/>
          </w:tcPr>
          <w:p w14:paraId="33B7AB08" w14:textId="24276BD4" w:rsidR="00690701" w:rsidRPr="00532B85" w:rsidRDefault="00E47DBC">
            <w:pPr>
              <w:spacing w:before="60" w:after="60" w:line="240" w:lineRule="auto"/>
              <w:jc w:val="left"/>
              <w:rPr>
                <w:sz w:val="20"/>
                <w:szCs w:val="20"/>
                <w:lang w:eastAsia="ko-KR"/>
              </w:rPr>
            </w:pPr>
            <w:r w:rsidRPr="00E47DBC">
              <w:rPr>
                <w:sz w:val="20"/>
                <w:szCs w:val="20"/>
              </w:rPr>
              <w:t>Readiness phase on hold</w:t>
            </w:r>
          </w:p>
        </w:tc>
      </w:tr>
      <w:tr w:rsidR="00690701" w:rsidRPr="00532B85" w14:paraId="668A0E03" w14:textId="77777777" w:rsidTr="002A0E40">
        <w:trPr>
          <w:trHeight w:val="53"/>
        </w:trPr>
        <w:tc>
          <w:tcPr>
            <w:tcW w:w="471" w:type="pct"/>
            <w:vMerge/>
          </w:tcPr>
          <w:p w14:paraId="4E9FAEA3" w14:textId="77777777" w:rsidR="00690701" w:rsidRPr="00532B85" w:rsidRDefault="00690701">
            <w:pPr>
              <w:spacing w:before="60" w:after="60" w:line="240" w:lineRule="auto"/>
              <w:jc w:val="left"/>
              <w:rPr>
                <w:sz w:val="20"/>
                <w:szCs w:val="20"/>
              </w:rPr>
            </w:pPr>
          </w:p>
        </w:tc>
        <w:tc>
          <w:tcPr>
            <w:tcW w:w="247" w:type="pct"/>
            <w:vAlign w:val="center"/>
          </w:tcPr>
          <w:p w14:paraId="5EFB75A2" w14:textId="77777777" w:rsidR="00690701" w:rsidRPr="00532B85" w:rsidRDefault="00690701">
            <w:pPr>
              <w:spacing w:before="60" w:after="60" w:line="240" w:lineRule="auto"/>
              <w:jc w:val="left"/>
              <w:rPr>
                <w:sz w:val="20"/>
                <w:szCs w:val="20"/>
              </w:rPr>
            </w:pPr>
            <w:r w:rsidRPr="00532B85">
              <w:rPr>
                <w:sz w:val="20"/>
                <w:szCs w:val="20"/>
              </w:rPr>
              <w:t>6</w:t>
            </w:r>
            <w:r>
              <w:rPr>
                <w:sz w:val="20"/>
                <w:szCs w:val="20"/>
              </w:rPr>
              <w:t>6</w:t>
            </w:r>
          </w:p>
        </w:tc>
        <w:tc>
          <w:tcPr>
            <w:tcW w:w="1222" w:type="pct"/>
            <w:vAlign w:val="center"/>
          </w:tcPr>
          <w:p w14:paraId="6FDCC08F" w14:textId="77777777" w:rsidR="00690701" w:rsidRPr="008D4980" w:rsidRDefault="00690701">
            <w:pPr>
              <w:spacing w:before="60" w:after="60" w:line="240" w:lineRule="auto"/>
              <w:jc w:val="left"/>
              <w:rPr>
                <w:b/>
                <w:sz w:val="20"/>
                <w:szCs w:val="20"/>
              </w:rPr>
            </w:pPr>
            <w:r w:rsidRPr="008D4980">
              <w:rPr>
                <w:b/>
                <w:sz w:val="20"/>
                <w:szCs w:val="20"/>
              </w:rPr>
              <w:t>Niue</w:t>
            </w:r>
          </w:p>
        </w:tc>
        <w:tc>
          <w:tcPr>
            <w:tcW w:w="987" w:type="pct"/>
            <w:vAlign w:val="center"/>
          </w:tcPr>
          <w:p w14:paraId="02D41FB2" w14:textId="77777777" w:rsidR="00690701" w:rsidRPr="00532B85" w:rsidRDefault="00690701">
            <w:pPr>
              <w:spacing w:before="60" w:after="60" w:line="240" w:lineRule="auto"/>
              <w:jc w:val="left"/>
              <w:rPr>
                <w:sz w:val="20"/>
                <w:szCs w:val="20"/>
              </w:rPr>
            </w:pPr>
            <w:r>
              <w:rPr>
                <w:sz w:val="20"/>
                <w:szCs w:val="20"/>
              </w:rPr>
              <w:t>New Zealand</w:t>
            </w:r>
          </w:p>
        </w:tc>
        <w:tc>
          <w:tcPr>
            <w:tcW w:w="664" w:type="pct"/>
            <w:vAlign w:val="center"/>
          </w:tcPr>
          <w:p w14:paraId="1ED098F4" w14:textId="77777777" w:rsidR="00690701" w:rsidRPr="00532B85" w:rsidRDefault="00690701">
            <w:pPr>
              <w:spacing w:before="60" w:after="60" w:line="240" w:lineRule="auto"/>
              <w:jc w:val="left"/>
              <w:rPr>
                <w:sz w:val="20"/>
                <w:szCs w:val="20"/>
              </w:rPr>
            </w:pPr>
            <w:r>
              <w:rPr>
                <w:sz w:val="20"/>
                <w:szCs w:val="20"/>
              </w:rPr>
              <w:t>UNEP</w:t>
            </w:r>
          </w:p>
        </w:tc>
        <w:tc>
          <w:tcPr>
            <w:tcW w:w="1410" w:type="pct"/>
          </w:tcPr>
          <w:p w14:paraId="43887F57" w14:textId="26766123" w:rsidR="00690701" w:rsidRPr="00532B85" w:rsidRDefault="00E47DBC">
            <w:pPr>
              <w:spacing w:before="60" w:after="60" w:line="240" w:lineRule="auto"/>
              <w:jc w:val="left"/>
              <w:rPr>
                <w:sz w:val="20"/>
                <w:szCs w:val="20"/>
                <w:lang w:eastAsia="ko-KR"/>
              </w:rPr>
            </w:pPr>
            <w:r w:rsidRPr="00E47DBC">
              <w:rPr>
                <w:sz w:val="20"/>
                <w:szCs w:val="20"/>
              </w:rPr>
              <w:t>Readiness phase on hold</w:t>
            </w:r>
          </w:p>
        </w:tc>
      </w:tr>
    </w:tbl>
    <w:p w14:paraId="59486806" w14:textId="77777777" w:rsidR="00690701" w:rsidRDefault="00690701" w:rsidP="00690701">
      <w:pPr>
        <w:spacing w:after="0" w:line="240" w:lineRule="auto"/>
        <w:jc w:val="left"/>
        <w:rPr>
          <w:rFonts w:eastAsiaTheme="majorEastAsia" w:cstheme="majorBidi"/>
          <w:b/>
          <w:color w:val="185980"/>
          <w:sz w:val="28"/>
          <w:szCs w:val="32"/>
        </w:rPr>
      </w:pPr>
      <w:bookmarkStart w:id="24" w:name="_Ref177476636"/>
      <w:bookmarkStart w:id="25" w:name="_Ref177476725"/>
      <w:r>
        <w:br w:type="page"/>
      </w:r>
    </w:p>
    <w:p w14:paraId="49CB8D57" w14:textId="27B98EF6" w:rsidR="00690701" w:rsidRDefault="00690701" w:rsidP="00690701">
      <w:pPr>
        <w:pStyle w:val="Heading1"/>
        <w:numPr>
          <w:ilvl w:val="0"/>
          <w:numId w:val="0"/>
        </w:numPr>
        <w:ind w:left="432" w:hanging="432"/>
        <w:rPr>
          <w:rFonts w:eastAsia="Malgun Gothic"/>
          <w:lang w:eastAsia="ko-KR"/>
        </w:rPr>
      </w:pPr>
      <w:bookmarkStart w:id="26" w:name="_Toc196471707"/>
      <w:bookmarkStart w:id="27" w:name="_Toc533165131"/>
      <w:r>
        <w:lastRenderedPageBreak/>
        <w:t>Annex 2: Readiness</w:t>
      </w:r>
      <w:r w:rsidRPr="06553CDB">
        <w:rPr>
          <w:rFonts w:eastAsia="Malgun Gothic"/>
          <w:lang w:eastAsia="ko-KR"/>
        </w:rPr>
        <w:t xml:space="preserve"> phase:</w:t>
      </w:r>
      <w:r>
        <w:t xml:space="preserve"> implementation progress</w:t>
      </w:r>
      <w:r w:rsidRPr="06553CDB">
        <w:rPr>
          <w:rFonts w:eastAsia="Malgun Gothic"/>
          <w:lang w:eastAsia="ko-KR"/>
        </w:rPr>
        <w:t xml:space="preserve"> summary</w:t>
      </w:r>
      <w:bookmarkEnd w:id="24"/>
      <w:bookmarkEnd w:id="25"/>
      <w:bookmarkEnd w:id="26"/>
      <w:bookmarkEnd w:id="27"/>
    </w:p>
    <w:tbl>
      <w:tblPr>
        <w:tblStyle w:val="TableGrid"/>
        <w:tblW w:w="9131" w:type="dxa"/>
        <w:tblLook w:val="04A0" w:firstRow="1" w:lastRow="0" w:firstColumn="1" w:lastColumn="0" w:noHBand="0" w:noVBand="1"/>
      </w:tblPr>
      <w:tblGrid>
        <w:gridCol w:w="850"/>
        <w:gridCol w:w="2910"/>
        <w:gridCol w:w="1830"/>
        <w:gridCol w:w="1872"/>
        <w:gridCol w:w="1688"/>
      </w:tblGrid>
      <w:tr w:rsidR="00690701" w:rsidRPr="00317DCC" w14:paraId="0891ABB4" w14:textId="77777777" w:rsidTr="677C8EF4">
        <w:trPr>
          <w:trHeight w:val="397"/>
          <w:tblHeader/>
        </w:trPr>
        <w:tc>
          <w:tcPr>
            <w:tcW w:w="831" w:type="dxa"/>
            <w:shd w:val="clear" w:color="auto" w:fill="1C3353" w:themeFill="accent1"/>
            <w:vAlign w:val="center"/>
          </w:tcPr>
          <w:p w14:paraId="20FA104F" w14:textId="77777777" w:rsidR="00690701" w:rsidRPr="00532B85" w:rsidRDefault="00690701">
            <w:pPr>
              <w:pStyle w:val="TableHeading"/>
              <w:jc w:val="left"/>
            </w:pPr>
            <w:r>
              <w:t>Batch</w:t>
            </w:r>
          </w:p>
        </w:tc>
        <w:tc>
          <w:tcPr>
            <w:tcW w:w="2910" w:type="dxa"/>
            <w:shd w:val="clear" w:color="auto" w:fill="1C3353" w:themeFill="accent1"/>
            <w:vAlign w:val="center"/>
            <w:hideMark/>
          </w:tcPr>
          <w:p w14:paraId="3450680A" w14:textId="77777777" w:rsidR="00690701" w:rsidRPr="00532B85" w:rsidRDefault="00690701">
            <w:pPr>
              <w:pStyle w:val="TableHeading"/>
              <w:jc w:val="left"/>
            </w:pPr>
            <w:r w:rsidRPr="00532B85">
              <w:t>Country</w:t>
            </w:r>
          </w:p>
        </w:tc>
        <w:tc>
          <w:tcPr>
            <w:tcW w:w="1830" w:type="dxa"/>
            <w:shd w:val="clear" w:color="auto" w:fill="1C3353" w:themeFill="accent1"/>
            <w:vAlign w:val="center"/>
            <w:hideMark/>
          </w:tcPr>
          <w:p w14:paraId="0BB40A19" w14:textId="77777777" w:rsidR="00690701" w:rsidRPr="00532B85" w:rsidRDefault="00690701">
            <w:pPr>
              <w:pStyle w:val="TableHeading"/>
              <w:jc w:val="left"/>
            </w:pPr>
            <w:r w:rsidRPr="00532B85">
              <w:t>National Gap Analysis</w:t>
            </w:r>
          </w:p>
        </w:tc>
        <w:tc>
          <w:tcPr>
            <w:tcW w:w="1872" w:type="dxa"/>
            <w:shd w:val="clear" w:color="auto" w:fill="1C3353" w:themeFill="accent1"/>
            <w:vAlign w:val="center"/>
            <w:hideMark/>
          </w:tcPr>
          <w:p w14:paraId="14F418FB" w14:textId="77777777" w:rsidR="00690701" w:rsidRPr="00532B85" w:rsidRDefault="00690701">
            <w:pPr>
              <w:pStyle w:val="TableHeading"/>
              <w:jc w:val="left"/>
            </w:pPr>
            <w:r w:rsidRPr="00532B85">
              <w:t>National Contribution Plan</w:t>
            </w:r>
          </w:p>
        </w:tc>
        <w:tc>
          <w:tcPr>
            <w:tcW w:w="1688" w:type="dxa"/>
            <w:shd w:val="clear" w:color="auto" w:fill="1C3353" w:themeFill="accent1"/>
            <w:vAlign w:val="center"/>
            <w:hideMark/>
          </w:tcPr>
          <w:p w14:paraId="736F1BFD" w14:textId="77777777" w:rsidR="00690701" w:rsidRPr="00532B85" w:rsidRDefault="00690701">
            <w:pPr>
              <w:pStyle w:val="TableHeading"/>
              <w:jc w:val="left"/>
            </w:pPr>
            <w:r w:rsidRPr="00532B85">
              <w:t>Country Hydromet Diagnostics</w:t>
            </w:r>
          </w:p>
        </w:tc>
      </w:tr>
      <w:tr w:rsidR="00690701" w:rsidRPr="00317DCC" w14:paraId="2104506F" w14:textId="77777777" w:rsidTr="677C8EF4">
        <w:trPr>
          <w:trHeight w:val="194"/>
        </w:trPr>
        <w:tc>
          <w:tcPr>
            <w:tcW w:w="831" w:type="dxa"/>
            <w:vMerge w:val="restart"/>
            <w:shd w:val="clear" w:color="auto" w:fill="F2F2F2" w:themeFill="background1" w:themeFillShade="F2"/>
          </w:tcPr>
          <w:p w14:paraId="5774D65B" w14:textId="77777777" w:rsidR="00690701" w:rsidRPr="002306A8" w:rsidRDefault="00690701">
            <w:pPr>
              <w:spacing w:before="60" w:after="60" w:line="240" w:lineRule="auto"/>
              <w:jc w:val="left"/>
              <w:rPr>
                <w:rFonts w:cs="Open Sans"/>
                <w:b/>
                <w:sz w:val="20"/>
                <w:szCs w:val="20"/>
              </w:rPr>
            </w:pPr>
            <w:r>
              <w:rPr>
                <w:rFonts w:cs="Open Sans" w:hint="eastAsia"/>
                <w:b/>
                <w:sz w:val="20"/>
                <w:szCs w:val="20"/>
                <w:lang w:eastAsia="ko-KR"/>
              </w:rPr>
              <w:t>Batch 1</w:t>
            </w:r>
          </w:p>
        </w:tc>
        <w:tc>
          <w:tcPr>
            <w:tcW w:w="2910" w:type="dxa"/>
            <w:shd w:val="clear" w:color="auto" w:fill="F2F2F2" w:themeFill="background1" w:themeFillShade="F2"/>
            <w:noWrap/>
            <w:vAlign w:val="center"/>
            <w:hideMark/>
          </w:tcPr>
          <w:p w14:paraId="38504337"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Belize</w:t>
            </w:r>
          </w:p>
        </w:tc>
        <w:tc>
          <w:tcPr>
            <w:tcW w:w="1830" w:type="dxa"/>
            <w:shd w:val="clear" w:color="auto" w:fill="018C85"/>
            <w:noWrap/>
            <w:vAlign w:val="center"/>
            <w:hideMark/>
          </w:tcPr>
          <w:p w14:paraId="7A2F6CD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08708354"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5F6AD899"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7F475CED" w14:textId="77777777" w:rsidTr="677C8EF4">
        <w:trPr>
          <w:trHeight w:val="194"/>
        </w:trPr>
        <w:tc>
          <w:tcPr>
            <w:tcW w:w="831" w:type="dxa"/>
            <w:vMerge/>
          </w:tcPr>
          <w:p w14:paraId="3D8E668D"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1B00F9DB"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Bhutan</w:t>
            </w:r>
          </w:p>
        </w:tc>
        <w:tc>
          <w:tcPr>
            <w:tcW w:w="1830" w:type="dxa"/>
            <w:shd w:val="clear" w:color="auto" w:fill="018C85"/>
            <w:noWrap/>
            <w:vAlign w:val="center"/>
            <w:hideMark/>
          </w:tcPr>
          <w:p w14:paraId="0F7DF6BE"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6E6F82A1"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46F34FC0"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141CF846" w14:textId="77777777" w:rsidTr="0CDC71C7">
        <w:trPr>
          <w:trHeight w:val="221"/>
        </w:trPr>
        <w:tc>
          <w:tcPr>
            <w:tcW w:w="831" w:type="dxa"/>
            <w:vMerge/>
          </w:tcPr>
          <w:p w14:paraId="6FC4EAAE"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706BF557"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Burkina Faso</w:t>
            </w:r>
          </w:p>
        </w:tc>
        <w:tc>
          <w:tcPr>
            <w:tcW w:w="1830" w:type="dxa"/>
            <w:shd w:val="clear" w:color="auto" w:fill="018C85"/>
            <w:noWrap/>
            <w:hideMark/>
          </w:tcPr>
          <w:p w14:paraId="78B00C9A" w14:textId="77777777" w:rsidR="00690701" w:rsidRPr="00532B85" w:rsidRDefault="00690701">
            <w:pPr>
              <w:spacing w:before="60" w:after="60" w:line="240" w:lineRule="auto"/>
              <w:ind w:left="360"/>
              <w:jc w:val="left"/>
              <w:rPr>
                <w:rFonts w:cs="Open Sans"/>
                <w:color w:val="FFFFFF" w:themeColor="background1"/>
                <w:sz w:val="20"/>
                <w:szCs w:val="20"/>
              </w:rPr>
            </w:pPr>
            <w:r w:rsidRPr="5B0BC309">
              <w:rPr>
                <w:rFonts w:cs="Open Sans"/>
                <w:color w:val="FFFFFF" w:themeColor="background1"/>
                <w:sz w:val="20"/>
                <w:szCs w:val="20"/>
              </w:rPr>
              <w:t>Completed</w:t>
            </w:r>
          </w:p>
        </w:tc>
        <w:tc>
          <w:tcPr>
            <w:tcW w:w="1872" w:type="dxa"/>
            <w:shd w:val="clear" w:color="auto" w:fill="FFCC4F" w:themeFill="accent4"/>
            <w:noWrap/>
            <w:hideMark/>
          </w:tcPr>
          <w:p w14:paraId="14E075D8" w14:textId="437E4925" w:rsidR="00690701" w:rsidRPr="00532B85" w:rsidRDefault="4C38EFF7" w:rsidP="677C8EF4">
            <w:pPr>
              <w:spacing w:before="60" w:after="60" w:line="240" w:lineRule="auto"/>
              <w:ind w:left="360"/>
              <w:jc w:val="left"/>
            </w:pPr>
            <w:r w:rsidRPr="677C8EF4">
              <w:rPr>
                <w:rFonts w:cs="Open Sans"/>
                <w:sz w:val="20"/>
                <w:szCs w:val="20"/>
              </w:rPr>
              <w:t>On track</w:t>
            </w:r>
          </w:p>
        </w:tc>
        <w:tc>
          <w:tcPr>
            <w:tcW w:w="1688" w:type="dxa"/>
            <w:shd w:val="clear" w:color="auto" w:fill="008B85" w:themeFill="accent3"/>
            <w:noWrap/>
            <w:hideMark/>
          </w:tcPr>
          <w:p w14:paraId="0215A9BA" w14:textId="63D9A3FF" w:rsidR="00690701" w:rsidRPr="00532B85" w:rsidRDefault="28AC8A6C" w:rsidP="677C8EF4">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r>
      <w:tr w:rsidR="00690701" w:rsidRPr="00317DCC" w14:paraId="7E906808" w14:textId="77777777" w:rsidTr="677C8EF4">
        <w:trPr>
          <w:trHeight w:val="194"/>
        </w:trPr>
        <w:tc>
          <w:tcPr>
            <w:tcW w:w="831" w:type="dxa"/>
            <w:vMerge/>
          </w:tcPr>
          <w:p w14:paraId="366D55A6"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1B7B7EF9"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Cabo Verde</w:t>
            </w:r>
          </w:p>
        </w:tc>
        <w:tc>
          <w:tcPr>
            <w:tcW w:w="1830" w:type="dxa"/>
            <w:shd w:val="clear" w:color="auto" w:fill="018C85"/>
            <w:noWrap/>
            <w:vAlign w:val="center"/>
            <w:hideMark/>
          </w:tcPr>
          <w:p w14:paraId="6BC2DCBD"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2D9B2709"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34355F29"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45D7D5FF" w14:textId="77777777" w:rsidTr="677C8EF4">
        <w:trPr>
          <w:trHeight w:val="194"/>
        </w:trPr>
        <w:tc>
          <w:tcPr>
            <w:tcW w:w="831" w:type="dxa"/>
            <w:vMerge/>
          </w:tcPr>
          <w:p w14:paraId="04F3E755"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1BFE5510"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Chad</w:t>
            </w:r>
          </w:p>
        </w:tc>
        <w:tc>
          <w:tcPr>
            <w:tcW w:w="1830" w:type="dxa"/>
            <w:shd w:val="clear" w:color="auto" w:fill="018C85"/>
            <w:noWrap/>
            <w:vAlign w:val="center"/>
            <w:hideMark/>
          </w:tcPr>
          <w:p w14:paraId="07120E99"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5AC6B782"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147ACB59"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36DCEFCC" w14:textId="77777777" w:rsidTr="677C8EF4">
        <w:trPr>
          <w:trHeight w:val="194"/>
        </w:trPr>
        <w:tc>
          <w:tcPr>
            <w:tcW w:w="831" w:type="dxa"/>
            <w:vMerge/>
          </w:tcPr>
          <w:p w14:paraId="0439681D"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295BD729"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Democratic Republic of the Congo</w:t>
            </w:r>
          </w:p>
        </w:tc>
        <w:tc>
          <w:tcPr>
            <w:tcW w:w="1830" w:type="dxa"/>
            <w:shd w:val="clear" w:color="auto" w:fill="018C85"/>
            <w:noWrap/>
            <w:vAlign w:val="center"/>
            <w:hideMark/>
          </w:tcPr>
          <w:p w14:paraId="435A0355"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6F3E99A2" w14:textId="77777777" w:rsidR="00690701" w:rsidRPr="005014A8" w:rsidRDefault="00690701">
            <w:pPr>
              <w:spacing w:before="60" w:after="60" w:line="240" w:lineRule="auto"/>
              <w:ind w:left="360"/>
              <w:jc w:val="left"/>
              <w:rPr>
                <w:color w:val="FFFFFF" w:themeColor="background1"/>
              </w:rPr>
            </w:pPr>
            <w:r w:rsidRPr="00C80C0E">
              <w:rPr>
                <w:rFonts w:cs="Open Sans"/>
                <w:color w:val="FFFFFF" w:themeColor="background1"/>
                <w:sz w:val="20"/>
                <w:szCs w:val="20"/>
              </w:rPr>
              <w:t>Completed</w:t>
            </w:r>
          </w:p>
        </w:tc>
        <w:tc>
          <w:tcPr>
            <w:tcW w:w="1688" w:type="dxa"/>
            <w:shd w:val="clear" w:color="auto" w:fill="018C85"/>
            <w:noWrap/>
            <w:vAlign w:val="center"/>
            <w:hideMark/>
          </w:tcPr>
          <w:p w14:paraId="4F98E02D"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r>
      <w:tr w:rsidR="00690701" w:rsidRPr="00317DCC" w14:paraId="68EA33A2" w14:textId="77777777" w:rsidTr="677C8EF4">
        <w:trPr>
          <w:trHeight w:val="194"/>
        </w:trPr>
        <w:tc>
          <w:tcPr>
            <w:tcW w:w="831" w:type="dxa"/>
            <w:vMerge/>
          </w:tcPr>
          <w:p w14:paraId="54E82998"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699086C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Ecuador</w:t>
            </w:r>
          </w:p>
        </w:tc>
        <w:tc>
          <w:tcPr>
            <w:tcW w:w="1830" w:type="dxa"/>
            <w:shd w:val="clear" w:color="auto" w:fill="018C85"/>
            <w:noWrap/>
            <w:vAlign w:val="center"/>
            <w:hideMark/>
          </w:tcPr>
          <w:p w14:paraId="68907DD3"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0A380490"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c>
          <w:tcPr>
            <w:tcW w:w="1688" w:type="dxa"/>
            <w:shd w:val="clear" w:color="auto" w:fill="018C85"/>
            <w:noWrap/>
            <w:vAlign w:val="center"/>
            <w:hideMark/>
          </w:tcPr>
          <w:p w14:paraId="2213B3EC"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r>
      <w:tr w:rsidR="00690701" w:rsidRPr="00317DCC" w14:paraId="35660DFF" w14:textId="77777777" w:rsidTr="677C8EF4">
        <w:trPr>
          <w:trHeight w:val="201"/>
        </w:trPr>
        <w:tc>
          <w:tcPr>
            <w:tcW w:w="831" w:type="dxa"/>
            <w:vMerge/>
          </w:tcPr>
          <w:p w14:paraId="7BCBB1F4"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5076D141"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Ethiopia</w:t>
            </w:r>
          </w:p>
        </w:tc>
        <w:tc>
          <w:tcPr>
            <w:tcW w:w="1830" w:type="dxa"/>
            <w:shd w:val="clear" w:color="auto" w:fill="018C85"/>
            <w:noWrap/>
            <w:vAlign w:val="center"/>
            <w:hideMark/>
          </w:tcPr>
          <w:p w14:paraId="79468EF0"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22E695B5"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030A18CC"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456633DF" w14:textId="77777777" w:rsidTr="677C8EF4">
        <w:trPr>
          <w:trHeight w:val="194"/>
        </w:trPr>
        <w:tc>
          <w:tcPr>
            <w:tcW w:w="831" w:type="dxa"/>
            <w:vMerge/>
          </w:tcPr>
          <w:p w14:paraId="2733B8D9"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064712B6"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Fiji</w:t>
            </w:r>
          </w:p>
        </w:tc>
        <w:tc>
          <w:tcPr>
            <w:tcW w:w="1830" w:type="dxa"/>
            <w:shd w:val="clear" w:color="auto" w:fill="018C85"/>
            <w:noWrap/>
            <w:vAlign w:val="center"/>
            <w:hideMark/>
          </w:tcPr>
          <w:p w14:paraId="6FA5743B"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3968EA6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08F54BB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443F7CC4" w14:textId="77777777" w:rsidTr="677C8EF4">
        <w:trPr>
          <w:trHeight w:val="194"/>
        </w:trPr>
        <w:tc>
          <w:tcPr>
            <w:tcW w:w="831" w:type="dxa"/>
            <w:vMerge/>
          </w:tcPr>
          <w:p w14:paraId="7CE0D909"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58F3251B"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Grenada</w:t>
            </w:r>
          </w:p>
        </w:tc>
        <w:tc>
          <w:tcPr>
            <w:tcW w:w="1830" w:type="dxa"/>
            <w:shd w:val="clear" w:color="auto" w:fill="F7CE67"/>
            <w:noWrap/>
            <w:hideMark/>
          </w:tcPr>
          <w:p w14:paraId="02E359F3" w14:textId="77777777" w:rsidR="00690701" w:rsidRPr="00532B85" w:rsidRDefault="00690701">
            <w:pPr>
              <w:spacing w:before="60" w:after="60" w:line="240" w:lineRule="auto"/>
              <w:ind w:left="360"/>
              <w:jc w:val="left"/>
              <w:rPr>
                <w:rFonts w:cs="Open Sans"/>
                <w:sz w:val="20"/>
                <w:szCs w:val="20"/>
              </w:rPr>
            </w:pPr>
            <w:r w:rsidRPr="0026568A">
              <w:rPr>
                <w:rFonts w:cs="Open Sans"/>
                <w:sz w:val="20"/>
                <w:szCs w:val="20"/>
              </w:rPr>
              <w:t>On track</w:t>
            </w:r>
          </w:p>
        </w:tc>
        <w:tc>
          <w:tcPr>
            <w:tcW w:w="1872" w:type="dxa"/>
            <w:shd w:val="clear" w:color="auto" w:fill="F7CE67"/>
            <w:noWrap/>
            <w:hideMark/>
          </w:tcPr>
          <w:p w14:paraId="66FE6A49" w14:textId="77777777" w:rsidR="00690701" w:rsidRPr="00532B85" w:rsidRDefault="00690701">
            <w:pPr>
              <w:spacing w:before="60" w:after="60" w:line="240" w:lineRule="auto"/>
              <w:ind w:left="360"/>
              <w:jc w:val="left"/>
              <w:rPr>
                <w:rFonts w:cs="Open Sans"/>
                <w:sz w:val="20"/>
                <w:szCs w:val="20"/>
              </w:rPr>
            </w:pPr>
            <w:r w:rsidRPr="0026568A">
              <w:rPr>
                <w:rFonts w:cs="Open Sans"/>
                <w:sz w:val="20"/>
                <w:szCs w:val="20"/>
              </w:rPr>
              <w:t>On track</w:t>
            </w:r>
          </w:p>
        </w:tc>
        <w:tc>
          <w:tcPr>
            <w:tcW w:w="1688" w:type="dxa"/>
            <w:shd w:val="clear" w:color="auto" w:fill="F7CE67"/>
            <w:noWrap/>
            <w:hideMark/>
          </w:tcPr>
          <w:p w14:paraId="49405667" w14:textId="77777777" w:rsidR="00690701" w:rsidRPr="00532B85" w:rsidRDefault="00690701">
            <w:pPr>
              <w:spacing w:before="60" w:after="60" w:line="240" w:lineRule="auto"/>
              <w:ind w:left="360"/>
              <w:jc w:val="left"/>
              <w:rPr>
                <w:rFonts w:cs="Open Sans"/>
                <w:sz w:val="20"/>
                <w:szCs w:val="20"/>
              </w:rPr>
            </w:pPr>
            <w:r w:rsidRPr="0026568A">
              <w:rPr>
                <w:rFonts w:cs="Open Sans"/>
                <w:sz w:val="20"/>
                <w:szCs w:val="20"/>
              </w:rPr>
              <w:t>On track</w:t>
            </w:r>
          </w:p>
        </w:tc>
      </w:tr>
      <w:tr w:rsidR="00690701" w:rsidRPr="00317DCC" w14:paraId="01DDC812" w14:textId="77777777" w:rsidTr="677C8EF4">
        <w:trPr>
          <w:trHeight w:val="194"/>
        </w:trPr>
        <w:tc>
          <w:tcPr>
            <w:tcW w:w="831" w:type="dxa"/>
            <w:vMerge/>
          </w:tcPr>
          <w:p w14:paraId="52A252C1"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384D9101"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Guyana</w:t>
            </w:r>
          </w:p>
        </w:tc>
        <w:tc>
          <w:tcPr>
            <w:tcW w:w="1830" w:type="dxa"/>
            <w:shd w:val="clear" w:color="auto" w:fill="018C85"/>
            <w:noWrap/>
            <w:vAlign w:val="center"/>
            <w:hideMark/>
          </w:tcPr>
          <w:p w14:paraId="12C09381"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00E781ED"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4C700E34"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r>
      <w:tr w:rsidR="00690701" w:rsidRPr="00317DCC" w14:paraId="576BDACE" w14:textId="77777777" w:rsidTr="677C8EF4">
        <w:trPr>
          <w:trHeight w:val="234"/>
        </w:trPr>
        <w:tc>
          <w:tcPr>
            <w:tcW w:w="831" w:type="dxa"/>
            <w:vMerge/>
          </w:tcPr>
          <w:p w14:paraId="34511E0D"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26FAA574"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Kiribati</w:t>
            </w:r>
          </w:p>
        </w:tc>
        <w:tc>
          <w:tcPr>
            <w:tcW w:w="1830" w:type="dxa"/>
            <w:shd w:val="clear" w:color="auto" w:fill="018C85"/>
            <w:noWrap/>
            <w:vAlign w:val="center"/>
            <w:hideMark/>
          </w:tcPr>
          <w:p w14:paraId="78AA1D9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313F255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5E89616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460142B3" w14:textId="77777777" w:rsidTr="677C8EF4">
        <w:trPr>
          <w:trHeight w:val="194"/>
        </w:trPr>
        <w:tc>
          <w:tcPr>
            <w:tcW w:w="831" w:type="dxa"/>
            <w:vMerge/>
          </w:tcPr>
          <w:p w14:paraId="5FB5F7DC"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62F2A9C2"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Liberia</w:t>
            </w:r>
          </w:p>
        </w:tc>
        <w:tc>
          <w:tcPr>
            <w:tcW w:w="1830" w:type="dxa"/>
            <w:shd w:val="clear" w:color="auto" w:fill="018C85"/>
            <w:noWrap/>
            <w:vAlign w:val="center"/>
            <w:hideMark/>
          </w:tcPr>
          <w:p w14:paraId="1267547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21201CAB"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67F891E1"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576A1715" w14:textId="77777777" w:rsidTr="677C8EF4">
        <w:trPr>
          <w:trHeight w:val="194"/>
        </w:trPr>
        <w:tc>
          <w:tcPr>
            <w:tcW w:w="831" w:type="dxa"/>
            <w:vMerge/>
          </w:tcPr>
          <w:p w14:paraId="39689E53"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7D8EB30F"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Madagascar</w:t>
            </w:r>
          </w:p>
        </w:tc>
        <w:tc>
          <w:tcPr>
            <w:tcW w:w="1830" w:type="dxa"/>
            <w:shd w:val="clear" w:color="auto" w:fill="018C85"/>
            <w:noWrap/>
            <w:vAlign w:val="center"/>
            <w:hideMark/>
          </w:tcPr>
          <w:p w14:paraId="66784FA4"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309436E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410AD3B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1A2A8EDA" w14:textId="77777777" w:rsidTr="677C8EF4">
        <w:trPr>
          <w:trHeight w:val="194"/>
        </w:trPr>
        <w:tc>
          <w:tcPr>
            <w:tcW w:w="831" w:type="dxa"/>
            <w:vMerge/>
          </w:tcPr>
          <w:p w14:paraId="1C047286"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71AA35C0"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Malawi</w:t>
            </w:r>
          </w:p>
        </w:tc>
        <w:tc>
          <w:tcPr>
            <w:tcW w:w="1830" w:type="dxa"/>
            <w:shd w:val="clear" w:color="auto" w:fill="018C85"/>
            <w:noWrap/>
            <w:vAlign w:val="center"/>
            <w:hideMark/>
          </w:tcPr>
          <w:p w14:paraId="29DCF3F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1C89512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5AFC3FDB"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7674A155" w14:textId="77777777" w:rsidTr="677C8EF4">
        <w:trPr>
          <w:trHeight w:val="194"/>
        </w:trPr>
        <w:tc>
          <w:tcPr>
            <w:tcW w:w="831" w:type="dxa"/>
            <w:vMerge/>
          </w:tcPr>
          <w:p w14:paraId="6DB6EFF3"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1E20244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Maldives</w:t>
            </w:r>
          </w:p>
        </w:tc>
        <w:tc>
          <w:tcPr>
            <w:tcW w:w="1830" w:type="dxa"/>
            <w:shd w:val="clear" w:color="auto" w:fill="018C85"/>
            <w:noWrap/>
            <w:vAlign w:val="center"/>
            <w:hideMark/>
          </w:tcPr>
          <w:p w14:paraId="521D94E2"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53E5860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2754ACC4"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7C5DA16A" w14:textId="77777777" w:rsidTr="677C8EF4">
        <w:trPr>
          <w:trHeight w:val="194"/>
        </w:trPr>
        <w:tc>
          <w:tcPr>
            <w:tcW w:w="831" w:type="dxa"/>
            <w:vMerge/>
          </w:tcPr>
          <w:p w14:paraId="735E3AAE"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00FE0858"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Mozambique</w:t>
            </w:r>
          </w:p>
        </w:tc>
        <w:tc>
          <w:tcPr>
            <w:tcW w:w="1830" w:type="dxa"/>
            <w:shd w:val="clear" w:color="auto" w:fill="018C85"/>
            <w:noWrap/>
            <w:vAlign w:val="center"/>
            <w:hideMark/>
          </w:tcPr>
          <w:p w14:paraId="2C92D76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185F916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2559AD64"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r>
      <w:tr w:rsidR="00690701" w:rsidRPr="00317DCC" w14:paraId="05349A29" w14:textId="77777777" w:rsidTr="0CDC71C7">
        <w:trPr>
          <w:trHeight w:val="194"/>
        </w:trPr>
        <w:tc>
          <w:tcPr>
            <w:tcW w:w="831" w:type="dxa"/>
            <w:vMerge/>
          </w:tcPr>
          <w:p w14:paraId="2F065E07"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2251EDD0"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Nepal</w:t>
            </w:r>
          </w:p>
        </w:tc>
        <w:tc>
          <w:tcPr>
            <w:tcW w:w="1830" w:type="dxa"/>
            <w:shd w:val="clear" w:color="auto" w:fill="018C85"/>
            <w:noWrap/>
            <w:vAlign w:val="center"/>
            <w:hideMark/>
          </w:tcPr>
          <w:p w14:paraId="3C1D120A"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4249DC6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08B85" w:themeFill="accent3"/>
            <w:noWrap/>
            <w:vAlign w:val="center"/>
            <w:hideMark/>
          </w:tcPr>
          <w:p w14:paraId="269A36CA" w14:textId="1F82691D" w:rsidR="00690701" w:rsidRPr="00532B85" w:rsidRDefault="7B5A4536">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r>
      <w:tr w:rsidR="00690701" w:rsidRPr="00317DCC" w14:paraId="40658A87" w14:textId="77777777" w:rsidTr="677C8EF4">
        <w:trPr>
          <w:trHeight w:val="194"/>
        </w:trPr>
        <w:tc>
          <w:tcPr>
            <w:tcW w:w="831" w:type="dxa"/>
            <w:vMerge/>
          </w:tcPr>
          <w:p w14:paraId="4E0AC1E7"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0DBD9ECD"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Rwanda</w:t>
            </w:r>
          </w:p>
        </w:tc>
        <w:tc>
          <w:tcPr>
            <w:tcW w:w="1830" w:type="dxa"/>
            <w:shd w:val="clear" w:color="auto" w:fill="018C85"/>
            <w:noWrap/>
            <w:vAlign w:val="center"/>
            <w:hideMark/>
          </w:tcPr>
          <w:p w14:paraId="3E81D6D2"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161B008C"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24F0AE90"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79AA0B3A" w14:textId="77777777" w:rsidTr="677C8EF4">
        <w:trPr>
          <w:trHeight w:val="194"/>
        </w:trPr>
        <w:tc>
          <w:tcPr>
            <w:tcW w:w="831" w:type="dxa"/>
            <w:vMerge/>
          </w:tcPr>
          <w:p w14:paraId="12802A13"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59DAC3E3"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Samoa</w:t>
            </w:r>
          </w:p>
        </w:tc>
        <w:tc>
          <w:tcPr>
            <w:tcW w:w="1830" w:type="dxa"/>
            <w:shd w:val="clear" w:color="auto" w:fill="018C85"/>
            <w:noWrap/>
            <w:vAlign w:val="center"/>
            <w:hideMark/>
          </w:tcPr>
          <w:p w14:paraId="3899C304"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7DDB4B5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60E62F1B"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439CB927" w14:textId="77777777" w:rsidTr="677C8EF4">
        <w:trPr>
          <w:trHeight w:val="194"/>
        </w:trPr>
        <w:tc>
          <w:tcPr>
            <w:tcW w:w="831" w:type="dxa"/>
            <w:vMerge/>
          </w:tcPr>
          <w:p w14:paraId="0B7DA9E8"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6EEBEA3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Senegal</w:t>
            </w:r>
          </w:p>
        </w:tc>
        <w:tc>
          <w:tcPr>
            <w:tcW w:w="1830" w:type="dxa"/>
            <w:shd w:val="clear" w:color="auto" w:fill="018C85"/>
            <w:noWrap/>
            <w:vAlign w:val="center"/>
            <w:hideMark/>
          </w:tcPr>
          <w:p w14:paraId="6B8638D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17408FAB" w14:textId="77777777" w:rsidR="00690701" w:rsidRPr="00532B85" w:rsidRDefault="00690701">
            <w:pPr>
              <w:spacing w:before="60" w:after="60" w:line="240" w:lineRule="auto"/>
              <w:ind w:left="360"/>
              <w:jc w:val="left"/>
            </w:pPr>
            <w:r w:rsidRPr="005014A8">
              <w:rPr>
                <w:rFonts w:cs="Open Sans"/>
                <w:color w:val="FFFFFF" w:themeColor="background1"/>
                <w:sz w:val="20"/>
                <w:szCs w:val="20"/>
              </w:rPr>
              <w:t>Completed</w:t>
            </w:r>
          </w:p>
        </w:tc>
        <w:tc>
          <w:tcPr>
            <w:tcW w:w="1688" w:type="dxa"/>
            <w:shd w:val="clear" w:color="auto" w:fill="018C85"/>
            <w:noWrap/>
            <w:vAlign w:val="center"/>
            <w:hideMark/>
          </w:tcPr>
          <w:p w14:paraId="22D43FB5"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0B010A09" w14:textId="77777777" w:rsidTr="677C8EF4">
        <w:trPr>
          <w:trHeight w:val="194"/>
        </w:trPr>
        <w:tc>
          <w:tcPr>
            <w:tcW w:w="831" w:type="dxa"/>
            <w:vMerge/>
          </w:tcPr>
          <w:p w14:paraId="6E77E20F"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082851F0"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Solomon Islands</w:t>
            </w:r>
          </w:p>
        </w:tc>
        <w:tc>
          <w:tcPr>
            <w:tcW w:w="1830" w:type="dxa"/>
            <w:shd w:val="clear" w:color="auto" w:fill="018C85"/>
            <w:noWrap/>
            <w:vAlign w:val="center"/>
            <w:hideMark/>
          </w:tcPr>
          <w:p w14:paraId="0DDC1AAA"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4FF7A142"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69F22EFA"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58C8C5B3" w14:textId="77777777" w:rsidTr="677C8EF4">
        <w:trPr>
          <w:trHeight w:val="194"/>
        </w:trPr>
        <w:tc>
          <w:tcPr>
            <w:tcW w:w="831" w:type="dxa"/>
            <w:vMerge/>
          </w:tcPr>
          <w:p w14:paraId="41EAAD3F"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630529A5"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South Sudan</w:t>
            </w:r>
          </w:p>
        </w:tc>
        <w:tc>
          <w:tcPr>
            <w:tcW w:w="1830" w:type="dxa"/>
            <w:shd w:val="clear" w:color="auto" w:fill="018C85"/>
            <w:noWrap/>
            <w:vAlign w:val="center"/>
            <w:hideMark/>
          </w:tcPr>
          <w:p w14:paraId="581B7E0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31BE994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780AFE40"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30BD7D6D" w14:textId="77777777" w:rsidTr="677C8EF4">
        <w:trPr>
          <w:trHeight w:val="194"/>
        </w:trPr>
        <w:tc>
          <w:tcPr>
            <w:tcW w:w="831" w:type="dxa"/>
            <w:vMerge/>
          </w:tcPr>
          <w:p w14:paraId="295545F6" w14:textId="77777777" w:rsidR="00690701" w:rsidRPr="002306A8" w:rsidRDefault="00690701">
            <w:pPr>
              <w:spacing w:before="60" w:after="60" w:line="240" w:lineRule="auto"/>
              <w:jc w:val="left"/>
              <w:rPr>
                <w:rFonts w:cs="Open Sans"/>
                <w:b/>
                <w:sz w:val="20"/>
                <w:szCs w:val="20"/>
                <w:lang w:eastAsia="ko-KR"/>
              </w:rPr>
            </w:pPr>
          </w:p>
        </w:tc>
        <w:tc>
          <w:tcPr>
            <w:tcW w:w="2910" w:type="dxa"/>
            <w:shd w:val="clear" w:color="auto" w:fill="F2F2F2" w:themeFill="background1" w:themeFillShade="F2"/>
            <w:noWrap/>
            <w:vAlign w:val="center"/>
            <w:hideMark/>
          </w:tcPr>
          <w:p w14:paraId="4769B15A" w14:textId="77777777" w:rsidR="00690701" w:rsidRPr="002306A8" w:rsidRDefault="00690701">
            <w:pPr>
              <w:spacing w:before="60" w:after="60" w:line="240" w:lineRule="auto"/>
              <w:jc w:val="left"/>
              <w:rPr>
                <w:rFonts w:cs="Open Sans"/>
                <w:b/>
                <w:sz w:val="20"/>
                <w:szCs w:val="20"/>
              </w:rPr>
            </w:pPr>
            <w:r w:rsidRPr="002306A8">
              <w:rPr>
                <w:rFonts w:cs="Open Sans" w:hint="eastAsia"/>
                <w:b/>
                <w:sz w:val="20"/>
                <w:szCs w:val="20"/>
                <w:lang w:eastAsia="ko-KR"/>
              </w:rPr>
              <w:t>United Republic of Tanzania</w:t>
            </w:r>
          </w:p>
        </w:tc>
        <w:tc>
          <w:tcPr>
            <w:tcW w:w="1830" w:type="dxa"/>
            <w:shd w:val="clear" w:color="auto" w:fill="018C85"/>
            <w:noWrap/>
            <w:vAlign w:val="center"/>
            <w:hideMark/>
          </w:tcPr>
          <w:p w14:paraId="3CC5B25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0758B6D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716AFECA"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35C0D2EC" w14:textId="77777777" w:rsidTr="677C8EF4">
        <w:trPr>
          <w:trHeight w:val="194"/>
        </w:trPr>
        <w:tc>
          <w:tcPr>
            <w:tcW w:w="831" w:type="dxa"/>
            <w:vMerge/>
          </w:tcPr>
          <w:p w14:paraId="708183C1"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33A8760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Timor-Leste</w:t>
            </w:r>
          </w:p>
        </w:tc>
        <w:tc>
          <w:tcPr>
            <w:tcW w:w="1830" w:type="dxa"/>
            <w:shd w:val="clear" w:color="auto" w:fill="018C85"/>
            <w:noWrap/>
            <w:vAlign w:val="center"/>
            <w:hideMark/>
          </w:tcPr>
          <w:p w14:paraId="60C5C323"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1DDBFD91"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1B9B7414"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0DB618ED" w14:textId="77777777" w:rsidTr="677C8EF4">
        <w:trPr>
          <w:trHeight w:val="194"/>
        </w:trPr>
        <w:tc>
          <w:tcPr>
            <w:tcW w:w="831" w:type="dxa"/>
            <w:vMerge/>
          </w:tcPr>
          <w:p w14:paraId="41686F4B" w14:textId="77777777" w:rsidR="00690701" w:rsidRPr="002306A8" w:rsidRDefault="00690701">
            <w:pPr>
              <w:spacing w:before="60" w:after="60" w:line="240" w:lineRule="auto"/>
              <w:jc w:val="left"/>
              <w:rPr>
                <w:rFonts w:cs="Open Sans"/>
                <w:b/>
                <w:sz w:val="20"/>
                <w:szCs w:val="20"/>
              </w:rPr>
            </w:pPr>
          </w:p>
        </w:tc>
        <w:tc>
          <w:tcPr>
            <w:tcW w:w="2910" w:type="dxa"/>
            <w:shd w:val="clear" w:color="auto" w:fill="F2F2F2" w:themeFill="background1" w:themeFillShade="F2"/>
            <w:noWrap/>
            <w:vAlign w:val="center"/>
            <w:hideMark/>
          </w:tcPr>
          <w:p w14:paraId="5E8255A1"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Tuvalu</w:t>
            </w:r>
          </w:p>
        </w:tc>
        <w:tc>
          <w:tcPr>
            <w:tcW w:w="1830" w:type="dxa"/>
            <w:shd w:val="clear" w:color="auto" w:fill="018C85"/>
            <w:noWrap/>
            <w:vAlign w:val="center"/>
            <w:hideMark/>
          </w:tcPr>
          <w:p w14:paraId="491BE2F8"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F7CE67"/>
            <w:noWrap/>
            <w:hideMark/>
          </w:tcPr>
          <w:p w14:paraId="4DDF29FF" w14:textId="77777777" w:rsidR="00690701" w:rsidRPr="00532B85" w:rsidRDefault="00690701">
            <w:pPr>
              <w:spacing w:before="60" w:after="60" w:line="240" w:lineRule="auto"/>
              <w:ind w:left="360"/>
              <w:jc w:val="left"/>
              <w:rPr>
                <w:rFonts w:cs="Open Sans"/>
                <w:sz w:val="20"/>
                <w:szCs w:val="20"/>
              </w:rPr>
            </w:pPr>
            <w:r w:rsidRPr="00AD5840">
              <w:rPr>
                <w:rFonts w:cs="Open Sans"/>
                <w:sz w:val="20"/>
                <w:szCs w:val="20"/>
              </w:rPr>
              <w:t>On track</w:t>
            </w:r>
          </w:p>
        </w:tc>
        <w:tc>
          <w:tcPr>
            <w:tcW w:w="1688" w:type="dxa"/>
            <w:shd w:val="clear" w:color="auto" w:fill="F7CE67"/>
            <w:noWrap/>
            <w:hideMark/>
          </w:tcPr>
          <w:p w14:paraId="055AF6AE" w14:textId="77777777" w:rsidR="00690701" w:rsidRPr="00532B85" w:rsidRDefault="00690701">
            <w:pPr>
              <w:spacing w:before="60" w:after="60" w:line="240" w:lineRule="auto"/>
              <w:ind w:left="360"/>
              <w:jc w:val="left"/>
              <w:rPr>
                <w:rFonts w:cs="Open Sans"/>
                <w:sz w:val="20"/>
                <w:szCs w:val="20"/>
              </w:rPr>
            </w:pPr>
            <w:r w:rsidRPr="00AD5840">
              <w:rPr>
                <w:rFonts w:cs="Open Sans"/>
                <w:sz w:val="20"/>
                <w:szCs w:val="20"/>
              </w:rPr>
              <w:t>On track</w:t>
            </w:r>
          </w:p>
        </w:tc>
      </w:tr>
      <w:tr w:rsidR="00690701" w:rsidRPr="00317DCC" w14:paraId="5421C542" w14:textId="77777777" w:rsidTr="677C8EF4">
        <w:trPr>
          <w:trHeight w:val="194"/>
        </w:trPr>
        <w:tc>
          <w:tcPr>
            <w:tcW w:w="831" w:type="dxa"/>
            <w:vMerge w:val="restart"/>
            <w:shd w:val="clear" w:color="auto" w:fill="87A8D6" w:themeFill="accent1" w:themeFillTint="66"/>
          </w:tcPr>
          <w:p w14:paraId="1DE6F9EA" w14:textId="77777777" w:rsidR="00690701" w:rsidRPr="002306A8" w:rsidRDefault="00690701">
            <w:pPr>
              <w:spacing w:before="60" w:after="60" w:line="240" w:lineRule="auto"/>
              <w:jc w:val="left"/>
              <w:rPr>
                <w:rFonts w:cs="Open Sans"/>
                <w:b/>
                <w:sz w:val="20"/>
                <w:szCs w:val="20"/>
              </w:rPr>
            </w:pPr>
            <w:r>
              <w:rPr>
                <w:rFonts w:cs="Open Sans" w:hint="eastAsia"/>
                <w:b/>
                <w:sz w:val="20"/>
                <w:szCs w:val="20"/>
                <w:lang w:eastAsia="ko-KR"/>
              </w:rPr>
              <w:t>Batch 2</w:t>
            </w:r>
          </w:p>
        </w:tc>
        <w:tc>
          <w:tcPr>
            <w:tcW w:w="2910" w:type="dxa"/>
            <w:shd w:val="clear" w:color="auto" w:fill="87A8D6" w:themeFill="accent1" w:themeFillTint="66"/>
            <w:noWrap/>
            <w:vAlign w:val="center"/>
            <w:hideMark/>
          </w:tcPr>
          <w:p w14:paraId="410E5A3A"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Cambodia</w:t>
            </w:r>
          </w:p>
        </w:tc>
        <w:tc>
          <w:tcPr>
            <w:tcW w:w="1830" w:type="dxa"/>
            <w:shd w:val="clear" w:color="auto" w:fill="018C85"/>
            <w:noWrap/>
            <w:vAlign w:val="center"/>
            <w:hideMark/>
          </w:tcPr>
          <w:p w14:paraId="5EA84334"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hideMark/>
          </w:tcPr>
          <w:p w14:paraId="7826FD73"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c>
          <w:tcPr>
            <w:tcW w:w="1688" w:type="dxa"/>
            <w:shd w:val="clear" w:color="auto" w:fill="018C85"/>
            <w:noWrap/>
            <w:vAlign w:val="center"/>
            <w:hideMark/>
          </w:tcPr>
          <w:p w14:paraId="0AD623A2" w14:textId="77777777" w:rsidR="00690701" w:rsidRPr="005014A8"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37654289" w14:textId="77777777" w:rsidTr="677C8EF4">
        <w:trPr>
          <w:trHeight w:val="194"/>
        </w:trPr>
        <w:tc>
          <w:tcPr>
            <w:tcW w:w="831" w:type="dxa"/>
            <w:vMerge/>
          </w:tcPr>
          <w:p w14:paraId="2E9952CA"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4B09D2B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Guinea-Bissau</w:t>
            </w:r>
          </w:p>
        </w:tc>
        <w:tc>
          <w:tcPr>
            <w:tcW w:w="1830" w:type="dxa"/>
            <w:shd w:val="clear" w:color="auto" w:fill="018C85"/>
            <w:noWrap/>
            <w:hideMark/>
          </w:tcPr>
          <w:p w14:paraId="52E6A82D"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c>
          <w:tcPr>
            <w:tcW w:w="1872" w:type="dxa"/>
            <w:shd w:val="clear" w:color="auto" w:fill="018C85"/>
            <w:noWrap/>
            <w:hideMark/>
          </w:tcPr>
          <w:p w14:paraId="75CEA86D"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c>
          <w:tcPr>
            <w:tcW w:w="1688" w:type="dxa"/>
            <w:shd w:val="clear" w:color="auto" w:fill="018C85"/>
            <w:noWrap/>
            <w:vAlign w:val="center"/>
            <w:hideMark/>
          </w:tcPr>
          <w:p w14:paraId="142054E3" w14:textId="77777777" w:rsidR="00690701" w:rsidRPr="005014A8" w:rsidRDefault="00690701">
            <w:pPr>
              <w:spacing w:before="60" w:after="60" w:line="240" w:lineRule="auto"/>
              <w:ind w:left="360"/>
              <w:jc w:val="left"/>
              <w:rPr>
                <w:color w:val="FFFFFF" w:themeColor="background1"/>
              </w:rPr>
            </w:pPr>
            <w:r w:rsidRPr="005014A8">
              <w:rPr>
                <w:rFonts w:cs="Open Sans"/>
                <w:color w:val="FFFFFF" w:themeColor="background1"/>
                <w:sz w:val="20"/>
                <w:szCs w:val="20"/>
              </w:rPr>
              <w:t>Completed</w:t>
            </w:r>
          </w:p>
        </w:tc>
      </w:tr>
      <w:tr w:rsidR="00690701" w:rsidRPr="00317DCC" w14:paraId="54C0C086" w14:textId="77777777" w:rsidTr="677C8EF4">
        <w:trPr>
          <w:trHeight w:val="194"/>
        </w:trPr>
        <w:tc>
          <w:tcPr>
            <w:tcW w:w="831" w:type="dxa"/>
            <w:vMerge/>
          </w:tcPr>
          <w:p w14:paraId="42B652D8"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6794F079"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Lao People's Democratic Republic</w:t>
            </w:r>
          </w:p>
        </w:tc>
        <w:tc>
          <w:tcPr>
            <w:tcW w:w="1830" w:type="dxa"/>
            <w:shd w:val="clear" w:color="auto" w:fill="018C85"/>
            <w:noWrap/>
            <w:vAlign w:val="center"/>
            <w:hideMark/>
          </w:tcPr>
          <w:p w14:paraId="57DA412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6B023DEC"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c>
          <w:tcPr>
            <w:tcW w:w="1688" w:type="dxa"/>
            <w:shd w:val="clear" w:color="auto" w:fill="018C85"/>
            <w:noWrap/>
            <w:vAlign w:val="center"/>
            <w:hideMark/>
          </w:tcPr>
          <w:p w14:paraId="500E6EE2"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r>
      <w:tr w:rsidR="00690701" w:rsidRPr="00317DCC" w14:paraId="7CA2AE3F" w14:textId="77777777" w:rsidTr="677C8EF4">
        <w:trPr>
          <w:trHeight w:val="194"/>
        </w:trPr>
        <w:tc>
          <w:tcPr>
            <w:tcW w:w="831" w:type="dxa"/>
            <w:vMerge/>
          </w:tcPr>
          <w:p w14:paraId="01A6A827"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718DA0FA"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Nauru</w:t>
            </w:r>
          </w:p>
        </w:tc>
        <w:tc>
          <w:tcPr>
            <w:tcW w:w="1830" w:type="dxa"/>
            <w:shd w:val="clear" w:color="auto" w:fill="018C85"/>
            <w:noWrap/>
            <w:vAlign w:val="center"/>
            <w:hideMark/>
          </w:tcPr>
          <w:p w14:paraId="61659B98"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120EF681"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631375FF"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66AA4735" w14:textId="77777777" w:rsidTr="677C8EF4">
        <w:trPr>
          <w:trHeight w:val="194"/>
        </w:trPr>
        <w:tc>
          <w:tcPr>
            <w:tcW w:w="831" w:type="dxa"/>
            <w:vMerge/>
          </w:tcPr>
          <w:p w14:paraId="08039556"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0C84ADD5"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Papua New Guinea</w:t>
            </w:r>
          </w:p>
        </w:tc>
        <w:tc>
          <w:tcPr>
            <w:tcW w:w="1830" w:type="dxa"/>
            <w:shd w:val="clear" w:color="auto" w:fill="018C85"/>
            <w:noWrap/>
            <w:vAlign w:val="center"/>
            <w:hideMark/>
          </w:tcPr>
          <w:p w14:paraId="590D709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73A50AC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1D9B376E"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603F485D" w14:textId="77777777" w:rsidTr="677C8EF4">
        <w:trPr>
          <w:trHeight w:val="194"/>
        </w:trPr>
        <w:tc>
          <w:tcPr>
            <w:tcW w:w="831" w:type="dxa"/>
            <w:vMerge/>
          </w:tcPr>
          <w:p w14:paraId="2D7AAAB3"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55F364D3"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Sao Tome and Principe</w:t>
            </w:r>
          </w:p>
        </w:tc>
        <w:tc>
          <w:tcPr>
            <w:tcW w:w="1830" w:type="dxa"/>
            <w:shd w:val="clear" w:color="auto" w:fill="018C85"/>
            <w:noWrap/>
            <w:vAlign w:val="center"/>
            <w:hideMark/>
          </w:tcPr>
          <w:p w14:paraId="756FDDA6"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5F9711D4" w14:textId="77777777" w:rsidR="00690701" w:rsidRPr="00532B85" w:rsidRDefault="00690701">
            <w:pPr>
              <w:spacing w:before="60" w:after="60" w:line="240" w:lineRule="auto"/>
              <w:ind w:left="360"/>
              <w:jc w:val="left"/>
            </w:pPr>
            <w:r w:rsidRPr="000B56C2">
              <w:rPr>
                <w:rFonts w:cs="Open Sans"/>
                <w:color w:val="FFFFFF" w:themeColor="background1"/>
                <w:sz w:val="20"/>
                <w:szCs w:val="20"/>
              </w:rPr>
              <w:t>Completed</w:t>
            </w:r>
          </w:p>
        </w:tc>
        <w:tc>
          <w:tcPr>
            <w:tcW w:w="1688" w:type="dxa"/>
            <w:shd w:val="clear" w:color="auto" w:fill="018C85"/>
            <w:noWrap/>
            <w:vAlign w:val="center"/>
            <w:hideMark/>
          </w:tcPr>
          <w:p w14:paraId="4193DAD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69FDFDE1" w14:textId="77777777" w:rsidTr="677C8EF4">
        <w:trPr>
          <w:trHeight w:val="194"/>
        </w:trPr>
        <w:tc>
          <w:tcPr>
            <w:tcW w:w="831" w:type="dxa"/>
            <w:vMerge/>
          </w:tcPr>
          <w:p w14:paraId="76C804F4"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7272F76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Tonga</w:t>
            </w:r>
          </w:p>
        </w:tc>
        <w:tc>
          <w:tcPr>
            <w:tcW w:w="1830" w:type="dxa"/>
            <w:shd w:val="clear" w:color="auto" w:fill="018C85"/>
            <w:noWrap/>
            <w:vAlign w:val="center"/>
            <w:hideMark/>
          </w:tcPr>
          <w:p w14:paraId="3F8B1B4A"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c>
          <w:tcPr>
            <w:tcW w:w="1872" w:type="dxa"/>
            <w:shd w:val="clear" w:color="auto" w:fill="F7CE67"/>
            <w:noWrap/>
            <w:hideMark/>
          </w:tcPr>
          <w:p w14:paraId="56A2C81D" w14:textId="77777777" w:rsidR="00690701" w:rsidRPr="00532B85" w:rsidRDefault="00690701">
            <w:pPr>
              <w:spacing w:before="60" w:after="60" w:line="240" w:lineRule="auto"/>
              <w:ind w:left="360"/>
              <w:jc w:val="left"/>
              <w:rPr>
                <w:rFonts w:cs="Open Sans"/>
                <w:sz w:val="20"/>
                <w:szCs w:val="20"/>
              </w:rPr>
            </w:pPr>
            <w:r w:rsidRPr="004D2098">
              <w:rPr>
                <w:rFonts w:cs="Open Sans"/>
                <w:sz w:val="20"/>
                <w:szCs w:val="20"/>
              </w:rPr>
              <w:t>On track</w:t>
            </w:r>
          </w:p>
        </w:tc>
        <w:tc>
          <w:tcPr>
            <w:tcW w:w="1688" w:type="dxa"/>
            <w:shd w:val="clear" w:color="auto" w:fill="F7CE67"/>
            <w:noWrap/>
            <w:hideMark/>
          </w:tcPr>
          <w:p w14:paraId="3DE3DF65" w14:textId="77777777" w:rsidR="00690701" w:rsidRPr="00532B85" w:rsidRDefault="00690701">
            <w:pPr>
              <w:spacing w:before="60" w:after="60" w:line="240" w:lineRule="auto"/>
              <w:ind w:left="360"/>
              <w:jc w:val="left"/>
            </w:pPr>
            <w:r w:rsidRPr="004D2098">
              <w:rPr>
                <w:rFonts w:cs="Open Sans"/>
                <w:sz w:val="20"/>
                <w:szCs w:val="20"/>
              </w:rPr>
              <w:t>On track</w:t>
            </w:r>
          </w:p>
        </w:tc>
      </w:tr>
      <w:tr w:rsidR="00690701" w:rsidRPr="00317DCC" w14:paraId="731EF920" w14:textId="77777777" w:rsidTr="677C8EF4">
        <w:trPr>
          <w:trHeight w:val="194"/>
        </w:trPr>
        <w:tc>
          <w:tcPr>
            <w:tcW w:w="831" w:type="dxa"/>
            <w:vMerge/>
          </w:tcPr>
          <w:p w14:paraId="500198EC"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68547D0F"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Uganda</w:t>
            </w:r>
          </w:p>
        </w:tc>
        <w:tc>
          <w:tcPr>
            <w:tcW w:w="1830" w:type="dxa"/>
            <w:shd w:val="clear" w:color="auto" w:fill="018C85"/>
            <w:noWrap/>
            <w:vAlign w:val="center"/>
            <w:hideMark/>
          </w:tcPr>
          <w:p w14:paraId="0C4E94CD"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3DAF229D"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02CFA5F9"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r>
      <w:tr w:rsidR="00690701" w:rsidRPr="00317DCC" w14:paraId="2B1349E3" w14:textId="77777777" w:rsidTr="0CDC71C7">
        <w:trPr>
          <w:trHeight w:val="194"/>
        </w:trPr>
        <w:tc>
          <w:tcPr>
            <w:tcW w:w="831" w:type="dxa"/>
            <w:vMerge w:val="restart"/>
            <w:shd w:val="clear" w:color="auto" w:fill="87A8D6" w:themeFill="accent1" w:themeFillTint="66"/>
          </w:tcPr>
          <w:p w14:paraId="06483F43" w14:textId="77777777" w:rsidR="00690701" w:rsidRPr="002306A8" w:rsidRDefault="00690701">
            <w:pPr>
              <w:spacing w:before="60" w:after="60" w:line="240" w:lineRule="auto"/>
              <w:jc w:val="left"/>
              <w:rPr>
                <w:rFonts w:cs="Open Sans"/>
                <w:b/>
                <w:sz w:val="20"/>
                <w:szCs w:val="20"/>
              </w:rPr>
            </w:pPr>
            <w:r>
              <w:rPr>
                <w:rFonts w:cs="Open Sans"/>
                <w:b/>
                <w:sz w:val="20"/>
                <w:szCs w:val="20"/>
              </w:rPr>
              <w:t>--</w:t>
            </w:r>
          </w:p>
        </w:tc>
        <w:tc>
          <w:tcPr>
            <w:tcW w:w="2910" w:type="dxa"/>
            <w:shd w:val="clear" w:color="auto" w:fill="87A8D6" w:themeFill="accent1" w:themeFillTint="66"/>
            <w:noWrap/>
            <w:vAlign w:val="center"/>
            <w:hideMark/>
          </w:tcPr>
          <w:p w14:paraId="1CAF907C"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Vanuatu</w:t>
            </w:r>
          </w:p>
        </w:tc>
        <w:tc>
          <w:tcPr>
            <w:tcW w:w="1830" w:type="dxa"/>
            <w:shd w:val="clear" w:color="auto" w:fill="008B85" w:themeFill="accent3"/>
            <w:noWrap/>
            <w:vAlign w:val="center"/>
            <w:hideMark/>
          </w:tcPr>
          <w:p w14:paraId="16469FCB" w14:textId="656859BE" w:rsidR="00690701" w:rsidRPr="00532B85" w:rsidRDefault="63EDBA32">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c>
          <w:tcPr>
            <w:tcW w:w="1872" w:type="dxa"/>
            <w:shd w:val="clear" w:color="auto" w:fill="F7CE67"/>
            <w:noWrap/>
            <w:vAlign w:val="center"/>
            <w:hideMark/>
          </w:tcPr>
          <w:p w14:paraId="2E6CF1CF" w14:textId="77777777" w:rsidR="00690701" w:rsidRPr="00532B85" w:rsidRDefault="00690701">
            <w:pPr>
              <w:spacing w:before="60" w:after="60" w:line="240" w:lineRule="auto"/>
              <w:ind w:left="360"/>
              <w:jc w:val="left"/>
            </w:pPr>
            <w:r w:rsidRPr="2D11B182">
              <w:rPr>
                <w:rFonts w:cs="Open Sans"/>
                <w:sz w:val="20"/>
                <w:szCs w:val="20"/>
              </w:rPr>
              <w:t>On-track</w:t>
            </w:r>
          </w:p>
        </w:tc>
        <w:tc>
          <w:tcPr>
            <w:tcW w:w="1688" w:type="dxa"/>
            <w:shd w:val="clear" w:color="auto" w:fill="F7CE67"/>
            <w:noWrap/>
            <w:vAlign w:val="center"/>
            <w:hideMark/>
          </w:tcPr>
          <w:p w14:paraId="24855B7B" w14:textId="77777777" w:rsidR="00690701" w:rsidRPr="00532B85" w:rsidRDefault="00690701">
            <w:pPr>
              <w:spacing w:before="60" w:after="60" w:line="240" w:lineRule="auto"/>
              <w:ind w:left="360"/>
              <w:jc w:val="left"/>
            </w:pPr>
            <w:r w:rsidRPr="2D11B182">
              <w:rPr>
                <w:rFonts w:cs="Open Sans"/>
                <w:sz w:val="20"/>
                <w:szCs w:val="20"/>
              </w:rPr>
              <w:t>On-track</w:t>
            </w:r>
          </w:p>
        </w:tc>
      </w:tr>
      <w:tr w:rsidR="00690701" w:rsidRPr="00317DCC" w14:paraId="343DAC01" w14:textId="77777777" w:rsidTr="677C8EF4">
        <w:trPr>
          <w:trHeight w:val="194"/>
        </w:trPr>
        <w:tc>
          <w:tcPr>
            <w:tcW w:w="831" w:type="dxa"/>
            <w:vMerge/>
          </w:tcPr>
          <w:p w14:paraId="1E0658E4" w14:textId="77777777" w:rsidR="00690701" w:rsidRPr="002306A8" w:rsidRDefault="00690701">
            <w:pPr>
              <w:spacing w:before="60" w:after="60" w:line="240" w:lineRule="auto"/>
              <w:jc w:val="left"/>
              <w:rPr>
                <w:rFonts w:cs="Open Sans"/>
                <w:b/>
                <w:sz w:val="20"/>
                <w:szCs w:val="20"/>
              </w:rPr>
            </w:pPr>
          </w:p>
        </w:tc>
        <w:tc>
          <w:tcPr>
            <w:tcW w:w="2910" w:type="dxa"/>
            <w:shd w:val="clear" w:color="auto" w:fill="87A8D6" w:themeFill="accent1" w:themeFillTint="66"/>
            <w:noWrap/>
            <w:vAlign w:val="center"/>
            <w:hideMark/>
          </w:tcPr>
          <w:p w14:paraId="748CEAFB"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Zambia</w:t>
            </w:r>
          </w:p>
        </w:tc>
        <w:tc>
          <w:tcPr>
            <w:tcW w:w="1830" w:type="dxa"/>
            <w:shd w:val="clear" w:color="auto" w:fill="018C85"/>
            <w:noWrap/>
            <w:vAlign w:val="center"/>
            <w:hideMark/>
          </w:tcPr>
          <w:p w14:paraId="5D1F9C50"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20BC901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7CF092D3"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16A4FEC5" w14:textId="77777777" w:rsidTr="677C8EF4">
        <w:trPr>
          <w:trHeight w:val="194"/>
        </w:trPr>
        <w:tc>
          <w:tcPr>
            <w:tcW w:w="831" w:type="dxa"/>
            <w:vMerge w:val="restart"/>
            <w:shd w:val="clear" w:color="auto" w:fill="C3D3EA" w:themeFill="accent1" w:themeFillTint="33"/>
          </w:tcPr>
          <w:p w14:paraId="3CFC65E0" w14:textId="77777777" w:rsidR="00690701" w:rsidRPr="002306A8" w:rsidRDefault="00690701">
            <w:pPr>
              <w:spacing w:before="60" w:after="60" w:line="240" w:lineRule="auto"/>
              <w:jc w:val="left"/>
              <w:rPr>
                <w:rFonts w:cs="Open Sans"/>
                <w:b/>
                <w:sz w:val="20"/>
                <w:szCs w:val="20"/>
              </w:rPr>
            </w:pPr>
            <w:r>
              <w:rPr>
                <w:rFonts w:cs="Open Sans" w:hint="eastAsia"/>
                <w:b/>
                <w:sz w:val="20"/>
                <w:szCs w:val="20"/>
                <w:lang w:eastAsia="ko-KR"/>
              </w:rPr>
              <w:t>Batch 3</w:t>
            </w:r>
          </w:p>
        </w:tc>
        <w:tc>
          <w:tcPr>
            <w:tcW w:w="2910" w:type="dxa"/>
            <w:shd w:val="clear" w:color="auto" w:fill="C3D3EA" w:themeFill="accent1" w:themeFillTint="33"/>
            <w:noWrap/>
            <w:vAlign w:val="center"/>
            <w:hideMark/>
          </w:tcPr>
          <w:p w14:paraId="39DD0F1A"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 xml:space="preserve">Antigua and Barbuda </w:t>
            </w:r>
          </w:p>
        </w:tc>
        <w:tc>
          <w:tcPr>
            <w:tcW w:w="1830" w:type="dxa"/>
            <w:shd w:val="clear" w:color="auto" w:fill="018C85"/>
            <w:noWrap/>
            <w:hideMark/>
          </w:tcPr>
          <w:p w14:paraId="70993248" w14:textId="77777777" w:rsidR="00690701" w:rsidRPr="000B56C2" w:rsidRDefault="00690701">
            <w:pPr>
              <w:spacing w:before="60" w:after="60" w:line="240" w:lineRule="auto"/>
              <w:ind w:left="360"/>
              <w:jc w:val="left"/>
              <w:rPr>
                <w:color w:val="FFFFFF" w:themeColor="background1"/>
              </w:rPr>
            </w:pPr>
            <w:r w:rsidRPr="000B56C2">
              <w:rPr>
                <w:rFonts w:cs="Open Sans"/>
                <w:color w:val="FFFFFF" w:themeColor="background1"/>
                <w:sz w:val="20"/>
                <w:szCs w:val="20"/>
              </w:rPr>
              <w:t>Completed</w:t>
            </w:r>
          </w:p>
        </w:tc>
        <w:tc>
          <w:tcPr>
            <w:tcW w:w="1872" w:type="dxa"/>
            <w:shd w:val="clear" w:color="auto" w:fill="018C85"/>
            <w:noWrap/>
            <w:hideMark/>
          </w:tcPr>
          <w:p w14:paraId="402AEC31" w14:textId="77777777" w:rsidR="00690701" w:rsidRPr="000B56C2" w:rsidRDefault="00690701">
            <w:pPr>
              <w:spacing w:before="60" w:after="60" w:line="240" w:lineRule="auto"/>
              <w:ind w:left="360"/>
              <w:jc w:val="left"/>
              <w:rPr>
                <w:color w:val="FFFFFF" w:themeColor="background1"/>
              </w:rPr>
            </w:pPr>
            <w:r w:rsidRPr="000B56C2">
              <w:rPr>
                <w:rFonts w:cs="Open Sans"/>
                <w:color w:val="FFFFFF" w:themeColor="background1"/>
                <w:sz w:val="20"/>
                <w:szCs w:val="20"/>
              </w:rPr>
              <w:t>Completed</w:t>
            </w:r>
          </w:p>
        </w:tc>
        <w:tc>
          <w:tcPr>
            <w:tcW w:w="1688" w:type="dxa"/>
            <w:shd w:val="clear" w:color="auto" w:fill="018C85"/>
            <w:noWrap/>
            <w:hideMark/>
          </w:tcPr>
          <w:p w14:paraId="49B3ED57"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r>
      <w:tr w:rsidR="00690701" w:rsidRPr="00317DCC" w14:paraId="55CF53E8" w14:textId="77777777" w:rsidTr="677C8EF4">
        <w:trPr>
          <w:trHeight w:val="194"/>
        </w:trPr>
        <w:tc>
          <w:tcPr>
            <w:tcW w:w="831" w:type="dxa"/>
            <w:vMerge/>
          </w:tcPr>
          <w:p w14:paraId="52CE8F13"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5953BEFE"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Bahamas</w:t>
            </w:r>
          </w:p>
        </w:tc>
        <w:tc>
          <w:tcPr>
            <w:tcW w:w="1830" w:type="dxa"/>
            <w:shd w:val="clear" w:color="auto" w:fill="018C85"/>
            <w:noWrap/>
            <w:vAlign w:val="center"/>
            <w:hideMark/>
          </w:tcPr>
          <w:p w14:paraId="7CD2F01C"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872" w:type="dxa"/>
            <w:shd w:val="clear" w:color="auto" w:fill="018C85"/>
            <w:noWrap/>
            <w:vAlign w:val="center"/>
            <w:hideMark/>
          </w:tcPr>
          <w:p w14:paraId="43525A35"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c>
          <w:tcPr>
            <w:tcW w:w="1688" w:type="dxa"/>
            <w:shd w:val="clear" w:color="auto" w:fill="018C85"/>
            <w:noWrap/>
            <w:vAlign w:val="center"/>
            <w:hideMark/>
          </w:tcPr>
          <w:p w14:paraId="495B7CCB" w14:textId="77777777" w:rsidR="00690701" w:rsidRPr="00532B85" w:rsidRDefault="00690701">
            <w:pPr>
              <w:spacing w:before="60" w:after="60" w:line="240" w:lineRule="auto"/>
              <w:ind w:left="360"/>
              <w:jc w:val="left"/>
            </w:pPr>
            <w:r w:rsidRPr="008F4F3F">
              <w:rPr>
                <w:rFonts w:cs="Open Sans"/>
                <w:color w:val="FFFFFF" w:themeColor="background1"/>
                <w:sz w:val="20"/>
                <w:szCs w:val="20"/>
              </w:rPr>
              <w:t>Completed</w:t>
            </w:r>
          </w:p>
        </w:tc>
      </w:tr>
      <w:tr w:rsidR="00690701" w:rsidRPr="00317DCC" w14:paraId="40138EB9" w14:textId="77777777" w:rsidTr="677C8EF4">
        <w:trPr>
          <w:trHeight w:val="194"/>
        </w:trPr>
        <w:tc>
          <w:tcPr>
            <w:tcW w:w="831" w:type="dxa"/>
            <w:vMerge/>
          </w:tcPr>
          <w:p w14:paraId="0DD2D529"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6C482C41"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Bangladesh</w:t>
            </w:r>
          </w:p>
        </w:tc>
        <w:tc>
          <w:tcPr>
            <w:tcW w:w="1830" w:type="dxa"/>
            <w:shd w:val="clear" w:color="auto" w:fill="018C85"/>
            <w:noWrap/>
            <w:vAlign w:val="center"/>
            <w:hideMark/>
          </w:tcPr>
          <w:p w14:paraId="27D6B9D1" w14:textId="77777777" w:rsidR="00690701" w:rsidRPr="00F206EE"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73A358AB"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688" w:type="dxa"/>
            <w:shd w:val="clear" w:color="auto" w:fill="018C85"/>
            <w:noWrap/>
            <w:vAlign w:val="center"/>
            <w:hideMark/>
          </w:tcPr>
          <w:p w14:paraId="5C8D9ED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r>
      <w:tr w:rsidR="00690701" w:rsidRPr="00317DCC" w14:paraId="108F6DB5" w14:textId="77777777" w:rsidTr="0CDC71C7">
        <w:trPr>
          <w:trHeight w:val="194"/>
        </w:trPr>
        <w:tc>
          <w:tcPr>
            <w:tcW w:w="831" w:type="dxa"/>
            <w:vMerge/>
          </w:tcPr>
          <w:p w14:paraId="49572945"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2FD722A5"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Barbados</w:t>
            </w:r>
          </w:p>
        </w:tc>
        <w:tc>
          <w:tcPr>
            <w:tcW w:w="1830" w:type="dxa"/>
            <w:shd w:val="clear" w:color="auto" w:fill="018C85"/>
            <w:noWrap/>
            <w:hideMark/>
          </w:tcPr>
          <w:p w14:paraId="6B58E0F7"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872" w:type="dxa"/>
            <w:shd w:val="clear" w:color="auto" w:fill="008B85" w:themeFill="accent3"/>
            <w:noWrap/>
            <w:vAlign w:val="center"/>
            <w:hideMark/>
          </w:tcPr>
          <w:p w14:paraId="4BBB5971" w14:textId="6151ECF9" w:rsidR="00690701" w:rsidRPr="00532B85" w:rsidRDefault="224DB270">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c>
          <w:tcPr>
            <w:tcW w:w="1688" w:type="dxa"/>
            <w:shd w:val="clear" w:color="auto" w:fill="018C85"/>
            <w:noWrap/>
            <w:vAlign w:val="center"/>
            <w:hideMark/>
          </w:tcPr>
          <w:p w14:paraId="6D632BAD" w14:textId="77777777" w:rsidR="00690701" w:rsidRPr="00532B85" w:rsidRDefault="00690701">
            <w:pPr>
              <w:spacing w:before="60" w:after="60" w:line="240" w:lineRule="auto"/>
              <w:ind w:left="360"/>
              <w:jc w:val="left"/>
              <w:rPr>
                <w:rFonts w:cs="Open Sans"/>
                <w:sz w:val="20"/>
                <w:szCs w:val="20"/>
              </w:rPr>
            </w:pPr>
            <w:r w:rsidRPr="00F206EE">
              <w:rPr>
                <w:rFonts w:cs="Open Sans"/>
                <w:color w:val="FFFFFF" w:themeColor="background1"/>
                <w:sz w:val="20"/>
                <w:szCs w:val="20"/>
              </w:rPr>
              <w:t>Completed</w:t>
            </w:r>
          </w:p>
        </w:tc>
      </w:tr>
      <w:tr w:rsidR="00690701" w:rsidRPr="00317DCC" w14:paraId="635BCCC5" w14:textId="77777777" w:rsidTr="0CDC71C7">
        <w:trPr>
          <w:trHeight w:val="194"/>
        </w:trPr>
        <w:tc>
          <w:tcPr>
            <w:tcW w:w="831" w:type="dxa"/>
            <w:vMerge/>
          </w:tcPr>
          <w:p w14:paraId="697074EB"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1A42561B"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Comoros</w:t>
            </w:r>
          </w:p>
        </w:tc>
        <w:tc>
          <w:tcPr>
            <w:tcW w:w="1830" w:type="dxa"/>
            <w:shd w:val="clear" w:color="auto" w:fill="008B85" w:themeFill="accent3"/>
            <w:noWrap/>
            <w:hideMark/>
          </w:tcPr>
          <w:p w14:paraId="7DEE1183" w14:textId="2592940F" w:rsidR="00690701" w:rsidRPr="00532B85" w:rsidRDefault="5C3D80FF">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c>
          <w:tcPr>
            <w:tcW w:w="1872" w:type="dxa"/>
            <w:shd w:val="clear" w:color="auto" w:fill="F7CE67"/>
            <w:noWrap/>
            <w:vAlign w:val="center"/>
            <w:hideMark/>
          </w:tcPr>
          <w:p w14:paraId="3122C846"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688" w:type="dxa"/>
            <w:shd w:val="clear" w:color="auto" w:fill="018C85"/>
            <w:noWrap/>
            <w:vAlign w:val="center"/>
            <w:hideMark/>
          </w:tcPr>
          <w:p w14:paraId="1E69FEAC" w14:textId="77777777" w:rsidR="00690701" w:rsidRPr="00532B85" w:rsidRDefault="00690701">
            <w:pPr>
              <w:spacing w:before="60" w:after="60" w:line="240" w:lineRule="auto"/>
              <w:ind w:left="360"/>
              <w:jc w:val="left"/>
            </w:pPr>
            <w:r w:rsidRPr="00F206EE">
              <w:rPr>
                <w:rFonts w:cs="Open Sans"/>
                <w:color w:val="FFFFFF" w:themeColor="background1"/>
                <w:sz w:val="20"/>
                <w:szCs w:val="20"/>
              </w:rPr>
              <w:t>Completed</w:t>
            </w:r>
          </w:p>
        </w:tc>
      </w:tr>
      <w:tr w:rsidR="00690701" w:rsidRPr="00317DCC" w14:paraId="656B01AE" w14:textId="77777777" w:rsidTr="677C8EF4">
        <w:trPr>
          <w:trHeight w:val="194"/>
        </w:trPr>
        <w:tc>
          <w:tcPr>
            <w:tcW w:w="831" w:type="dxa"/>
            <w:vMerge/>
          </w:tcPr>
          <w:p w14:paraId="53CB9BEC"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45299E53"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Cuba</w:t>
            </w:r>
          </w:p>
        </w:tc>
        <w:tc>
          <w:tcPr>
            <w:tcW w:w="1830" w:type="dxa"/>
            <w:shd w:val="clear" w:color="auto" w:fill="018C85"/>
            <w:noWrap/>
            <w:vAlign w:val="center"/>
            <w:hideMark/>
          </w:tcPr>
          <w:p w14:paraId="68ABBE13"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hideMark/>
          </w:tcPr>
          <w:p w14:paraId="1FA7DCA2"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688" w:type="dxa"/>
            <w:shd w:val="clear" w:color="auto" w:fill="018C85"/>
            <w:noWrap/>
            <w:hideMark/>
          </w:tcPr>
          <w:p w14:paraId="05C804C1" w14:textId="77777777" w:rsidR="00690701" w:rsidRPr="00F206EE" w:rsidRDefault="00690701">
            <w:pPr>
              <w:spacing w:before="60" w:after="60" w:line="240" w:lineRule="auto"/>
              <w:ind w:left="360"/>
              <w:jc w:val="left"/>
              <w:rPr>
                <w:rFonts w:cs="Open Sans"/>
                <w:color w:val="FFFFFF" w:themeColor="background1"/>
                <w:sz w:val="20"/>
                <w:szCs w:val="20"/>
              </w:rPr>
            </w:pPr>
            <w:r w:rsidRPr="00F206EE">
              <w:rPr>
                <w:rFonts w:cs="Open Sans"/>
                <w:color w:val="FFFFFF" w:themeColor="background1"/>
                <w:sz w:val="20"/>
                <w:szCs w:val="20"/>
              </w:rPr>
              <w:t>Completed</w:t>
            </w:r>
          </w:p>
        </w:tc>
      </w:tr>
      <w:tr w:rsidR="00690701" w:rsidRPr="00317DCC" w14:paraId="2C463D14" w14:textId="77777777" w:rsidTr="00B73A94">
        <w:trPr>
          <w:trHeight w:val="194"/>
        </w:trPr>
        <w:tc>
          <w:tcPr>
            <w:tcW w:w="831" w:type="dxa"/>
            <w:vMerge/>
          </w:tcPr>
          <w:p w14:paraId="552C586F"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21498D91"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Djibouti</w:t>
            </w:r>
          </w:p>
        </w:tc>
        <w:tc>
          <w:tcPr>
            <w:tcW w:w="1830" w:type="dxa"/>
            <w:shd w:val="clear" w:color="auto" w:fill="018C85"/>
            <w:noWrap/>
            <w:vAlign w:val="center"/>
            <w:hideMark/>
          </w:tcPr>
          <w:p w14:paraId="1DC8B517"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F7CE67"/>
            <w:noWrap/>
            <w:hideMark/>
          </w:tcPr>
          <w:p w14:paraId="37D7FCC9" w14:textId="36FC0C32" w:rsidR="00690701" w:rsidRPr="00532B85" w:rsidRDefault="00B73A94">
            <w:pPr>
              <w:spacing w:before="60" w:after="60" w:line="240" w:lineRule="auto"/>
              <w:ind w:left="360"/>
              <w:jc w:val="left"/>
              <w:rPr>
                <w:rFonts w:cs="Open Sans"/>
                <w:color w:val="FFFFFF" w:themeColor="background1"/>
                <w:sz w:val="20"/>
                <w:szCs w:val="20"/>
              </w:rPr>
            </w:pPr>
            <w:r w:rsidRPr="00532B85">
              <w:rPr>
                <w:rFonts w:cs="Open Sans"/>
                <w:sz w:val="20"/>
                <w:szCs w:val="20"/>
              </w:rPr>
              <w:t>On track</w:t>
            </w:r>
          </w:p>
        </w:tc>
        <w:tc>
          <w:tcPr>
            <w:tcW w:w="1688" w:type="dxa"/>
            <w:shd w:val="clear" w:color="auto" w:fill="018C85"/>
            <w:noWrap/>
            <w:hideMark/>
          </w:tcPr>
          <w:p w14:paraId="74098528" w14:textId="77777777" w:rsidR="00690701" w:rsidRPr="00532B85" w:rsidRDefault="00690701">
            <w:pPr>
              <w:spacing w:before="60" w:after="60" w:line="240" w:lineRule="auto"/>
              <w:ind w:left="360"/>
              <w:jc w:val="left"/>
              <w:rPr>
                <w:rFonts w:cs="Open Sans"/>
                <w:sz w:val="20"/>
                <w:szCs w:val="20"/>
              </w:rPr>
            </w:pPr>
            <w:r w:rsidRPr="00F206EE">
              <w:rPr>
                <w:rFonts w:cs="Open Sans"/>
                <w:color w:val="FFFFFF" w:themeColor="background1"/>
                <w:sz w:val="20"/>
                <w:szCs w:val="20"/>
              </w:rPr>
              <w:t>Completed</w:t>
            </w:r>
          </w:p>
        </w:tc>
      </w:tr>
      <w:tr w:rsidR="00690701" w:rsidRPr="00317DCC" w14:paraId="35C330F5" w14:textId="77777777" w:rsidTr="0CDC71C7">
        <w:trPr>
          <w:trHeight w:val="194"/>
        </w:trPr>
        <w:tc>
          <w:tcPr>
            <w:tcW w:w="831" w:type="dxa"/>
            <w:vMerge/>
          </w:tcPr>
          <w:p w14:paraId="1DA1F153"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68B3B473"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Dominica</w:t>
            </w:r>
          </w:p>
        </w:tc>
        <w:tc>
          <w:tcPr>
            <w:tcW w:w="1830" w:type="dxa"/>
            <w:shd w:val="clear" w:color="auto" w:fill="018C85"/>
            <w:noWrap/>
            <w:hideMark/>
          </w:tcPr>
          <w:p w14:paraId="511E7B90"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872" w:type="dxa"/>
            <w:shd w:val="clear" w:color="auto" w:fill="F7CE67"/>
            <w:noWrap/>
            <w:hideMark/>
          </w:tcPr>
          <w:p w14:paraId="197730B6"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688" w:type="dxa"/>
            <w:shd w:val="clear" w:color="auto" w:fill="008B85" w:themeFill="accent3"/>
            <w:noWrap/>
            <w:hideMark/>
          </w:tcPr>
          <w:p w14:paraId="0C947117" w14:textId="042758EE" w:rsidR="00690701" w:rsidRPr="00532B85" w:rsidRDefault="5A46C3E1">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r>
      <w:tr w:rsidR="00690701" w:rsidRPr="00317DCC" w14:paraId="131B94F3" w14:textId="77777777" w:rsidTr="677C8EF4">
        <w:trPr>
          <w:trHeight w:val="194"/>
        </w:trPr>
        <w:tc>
          <w:tcPr>
            <w:tcW w:w="831" w:type="dxa"/>
            <w:vMerge/>
          </w:tcPr>
          <w:p w14:paraId="1C3A0A49"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79A95FD8"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Dominican Republic</w:t>
            </w:r>
          </w:p>
        </w:tc>
        <w:tc>
          <w:tcPr>
            <w:tcW w:w="1830" w:type="dxa"/>
            <w:shd w:val="clear" w:color="auto" w:fill="018C85"/>
            <w:noWrap/>
            <w:vAlign w:val="center"/>
            <w:hideMark/>
          </w:tcPr>
          <w:p w14:paraId="71CECCB0" w14:textId="77777777" w:rsidR="00690701" w:rsidRPr="00F206EE"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hideMark/>
          </w:tcPr>
          <w:p w14:paraId="258F7972" w14:textId="77777777" w:rsidR="00690701" w:rsidRPr="00F206EE" w:rsidRDefault="00690701">
            <w:pPr>
              <w:spacing w:before="60" w:after="60" w:line="240" w:lineRule="auto"/>
              <w:ind w:left="360"/>
              <w:jc w:val="left"/>
              <w:rPr>
                <w:rFonts w:cs="Open Sans"/>
                <w:color w:val="FFFFFF" w:themeColor="background1"/>
                <w:sz w:val="20"/>
                <w:szCs w:val="20"/>
              </w:rPr>
            </w:pPr>
            <w:r w:rsidRPr="00F206EE">
              <w:rPr>
                <w:rFonts w:cs="Open Sans"/>
                <w:color w:val="FFFFFF" w:themeColor="background1"/>
                <w:sz w:val="20"/>
                <w:szCs w:val="20"/>
              </w:rPr>
              <w:t>Completed</w:t>
            </w:r>
          </w:p>
        </w:tc>
        <w:tc>
          <w:tcPr>
            <w:tcW w:w="1688" w:type="dxa"/>
            <w:shd w:val="clear" w:color="auto" w:fill="018C85"/>
            <w:noWrap/>
            <w:hideMark/>
          </w:tcPr>
          <w:p w14:paraId="0C32C77C"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r>
      <w:tr w:rsidR="00690701" w:rsidRPr="00317DCC" w14:paraId="00899345" w14:textId="77777777" w:rsidTr="677C8EF4">
        <w:trPr>
          <w:trHeight w:val="194"/>
        </w:trPr>
        <w:tc>
          <w:tcPr>
            <w:tcW w:w="831" w:type="dxa"/>
            <w:vMerge/>
          </w:tcPr>
          <w:p w14:paraId="242DEAE5"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10992B03"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Federated States of Micronesia</w:t>
            </w:r>
          </w:p>
        </w:tc>
        <w:tc>
          <w:tcPr>
            <w:tcW w:w="1830" w:type="dxa"/>
            <w:shd w:val="clear" w:color="auto" w:fill="018C85"/>
            <w:noWrap/>
            <w:vAlign w:val="center"/>
            <w:hideMark/>
          </w:tcPr>
          <w:p w14:paraId="5F13C111"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872" w:type="dxa"/>
            <w:shd w:val="clear" w:color="auto" w:fill="018C85"/>
            <w:noWrap/>
            <w:vAlign w:val="center"/>
            <w:hideMark/>
          </w:tcPr>
          <w:p w14:paraId="13E2A51C"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688" w:type="dxa"/>
            <w:shd w:val="clear" w:color="auto" w:fill="018C85"/>
            <w:noWrap/>
            <w:vAlign w:val="center"/>
            <w:hideMark/>
          </w:tcPr>
          <w:p w14:paraId="78E4E747"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r>
      <w:tr w:rsidR="00690701" w:rsidRPr="00317DCC" w14:paraId="5C26E6F9" w14:textId="77777777" w:rsidTr="0CDC71C7">
        <w:trPr>
          <w:trHeight w:val="194"/>
        </w:trPr>
        <w:tc>
          <w:tcPr>
            <w:tcW w:w="831" w:type="dxa"/>
            <w:vMerge/>
          </w:tcPr>
          <w:p w14:paraId="38E376F0"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0956A9DC"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Haiti</w:t>
            </w:r>
          </w:p>
        </w:tc>
        <w:tc>
          <w:tcPr>
            <w:tcW w:w="1830" w:type="dxa"/>
            <w:shd w:val="clear" w:color="auto" w:fill="018C85"/>
            <w:noWrap/>
            <w:vAlign w:val="center"/>
            <w:hideMark/>
          </w:tcPr>
          <w:p w14:paraId="5CBF259A" w14:textId="77777777" w:rsidR="00690701" w:rsidRPr="00532B85" w:rsidRDefault="00690701">
            <w:pPr>
              <w:spacing w:before="60" w:after="60" w:line="240" w:lineRule="auto"/>
              <w:ind w:left="360"/>
              <w:jc w:val="left"/>
              <w:rPr>
                <w:rFonts w:cs="Open Sans"/>
                <w:sz w:val="20"/>
                <w:szCs w:val="20"/>
              </w:rPr>
            </w:pPr>
            <w:r w:rsidRPr="00F206EE">
              <w:rPr>
                <w:rFonts w:cs="Open Sans"/>
                <w:color w:val="FFFFFF" w:themeColor="background1"/>
                <w:sz w:val="20"/>
                <w:szCs w:val="20"/>
              </w:rPr>
              <w:t>Completed</w:t>
            </w:r>
          </w:p>
        </w:tc>
        <w:tc>
          <w:tcPr>
            <w:tcW w:w="1872" w:type="dxa"/>
            <w:shd w:val="clear" w:color="auto" w:fill="F7CE67"/>
            <w:noWrap/>
            <w:vAlign w:val="center"/>
            <w:hideMark/>
          </w:tcPr>
          <w:p w14:paraId="2C126621"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688" w:type="dxa"/>
            <w:shd w:val="clear" w:color="auto" w:fill="008B85" w:themeFill="accent3"/>
            <w:noWrap/>
            <w:vAlign w:val="center"/>
            <w:hideMark/>
          </w:tcPr>
          <w:p w14:paraId="58E4CA04" w14:textId="381448E6" w:rsidR="00690701" w:rsidRPr="00532B85" w:rsidRDefault="37D0D533">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r>
      <w:tr w:rsidR="00690701" w:rsidRPr="00317DCC" w14:paraId="4402F12C" w14:textId="77777777" w:rsidTr="0CDC71C7">
        <w:trPr>
          <w:trHeight w:val="194"/>
        </w:trPr>
        <w:tc>
          <w:tcPr>
            <w:tcW w:w="831" w:type="dxa"/>
            <w:vMerge/>
          </w:tcPr>
          <w:p w14:paraId="5B77D165"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1EA901F6"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Jamaica</w:t>
            </w:r>
          </w:p>
        </w:tc>
        <w:tc>
          <w:tcPr>
            <w:tcW w:w="1830" w:type="dxa"/>
            <w:shd w:val="clear" w:color="auto" w:fill="018C85"/>
            <w:noWrap/>
            <w:vAlign w:val="center"/>
            <w:hideMark/>
          </w:tcPr>
          <w:p w14:paraId="54BCEDEB"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08B85" w:themeFill="accent3"/>
            <w:noWrap/>
            <w:vAlign w:val="center"/>
            <w:hideMark/>
          </w:tcPr>
          <w:p w14:paraId="6F002902" w14:textId="6D75FDB2" w:rsidR="00690701" w:rsidRPr="00532B85" w:rsidRDefault="3D9B57D2">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c>
          <w:tcPr>
            <w:tcW w:w="1688" w:type="dxa"/>
            <w:shd w:val="clear" w:color="auto" w:fill="018C85"/>
            <w:noWrap/>
            <w:vAlign w:val="center"/>
            <w:hideMark/>
          </w:tcPr>
          <w:p w14:paraId="74322D5B"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r>
      <w:tr w:rsidR="00690701" w:rsidRPr="00317DCC" w14:paraId="504A46E9" w14:textId="77777777" w:rsidTr="677C8EF4">
        <w:trPr>
          <w:trHeight w:val="194"/>
        </w:trPr>
        <w:tc>
          <w:tcPr>
            <w:tcW w:w="831" w:type="dxa"/>
            <w:vMerge/>
          </w:tcPr>
          <w:p w14:paraId="3FEAFB3A"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34B4BC88"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Marshall Islands</w:t>
            </w:r>
          </w:p>
        </w:tc>
        <w:tc>
          <w:tcPr>
            <w:tcW w:w="1830" w:type="dxa"/>
            <w:shd w:val="clear" w:color="auto" w:fill="018C85"/>
            <w:noWrap/>
            <w:hideMark/>
          </w:tcPr>
          <w:p w14:paraId="14B18CCB"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872" w:type="dxa"/>
            <w:shd w:val="clear" w:color="auto" w:fill="018C85"/>
            <w:noWrap/>
            <w:hideMark/>
          </w:tcPr>
          <w:p w14:paraId="7A7303FC"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688" w:type="dxa"/>
            <w:shd w:val="clear" w:color="auto" w:fill="018C85"/>
            <w:noWrap/>
            <w:vAlign w:val="center"/>
            <w:hideMark/>
          </w:tcPr>
          <w:p w14:paraId="296CDC40"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r>
      <w:tr w:rsidR="00690701" w:rsidRPr="00317DCC" w14:paraId="4FB081A4" w14:textId="77777777" w:rsidTr="0CDC71C7">
        <w:trPr>
          <w:trHeight w:val="194"/>
        </w:trPr>
        <w:tc>
          <w:tcPr>
            <w:tcW w:w="831" w:type="dxa"/>
            <w:vMerge/>
          </w:tcPr>
          <w:p w14:paraId="4C8F334F"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2CB02F4C"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Mauritius</w:t>
            </w:r>
          </w:p>
        </w:tc>
        <w:tc>
          <w:tcPr>
            <w:tcW w:w="1830" w:type="dxa"/>
            <w:shd w:val="clear" w:color="auto" w:fill="008B85" w:themeFill="accent3"/>
            <w:noWrap/>
            <w:hideMark/>
          </w:tcPr>
          <w:p w14:paraId="7E134907" w14:textId="27F19EEA" w:rsidR="00690701" w:rsidRPr="00532B85" w:rsidRDefault="045A78A9">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c>
          <w:tcPr>
            <w:tcW w:w="1872" w:type="dxa"/>
            <w:shd w:val="clear" w:color="auto" w:fill="F7CE67"/>
            <w:noWrap/>
            <w:hideMark/>
          </w:tcPr>
          <w:p w14:paraId="44E58A41" w14:textId="77777777" w:rsidR="00690701" w:rsidRPr="00532B85" w:rsidRDefault="00690701">
            <w:pPr>
              <w:spacing w:before="60" w:after="60" w:line="240" w:lineRule="auto"/>
              <w:ind w:left="360"/>
              <w:jc w:val="left"/>
              <w:rPr>
                <w:rFonts w:cs="Open Sans"/>
                <w:sz w:val="20"/>
                <w:szCs w:val="20"/>
              </w:rPr>
            </w:pPr>
            <w:r w:rsidRPr="009E6574">
              <w:rPr>
                <w:rFonts w:cs="Open Sans"/>
                <w:sz w:val="20"/>
                <w:szCs w:val="20"/>
              </w:rPr>
              <w:t>On track</w:t>
            </w:r>
          </w:p>
        </w:tc>
        <w:tc>
          <w:tcPr>
            <w:tcW w:w="1688" w:type="dxa"/>
            <w:shd w:val="clear" w:color="auto" w:fill="F7CE67"/>
            <w:noWrap/>
            <w:hideMark/>
          </w:tcPr>
          <w:p w14:paraId="34F5AB11" w14:textId="77777777" w:rsidR="00690701" w:rsidRPr="00532B85" w:rsidRDefault="00690701">
            <w:pPr>
              <w:spacing w:before="60" w:after="60" w:line="240" w:lineRule="auto"/>
              <w:ind w:left="360"/>
              <w:jc w:val="left"/>
              <w:rPr>
                <w:rFonts w:cs="Open Sans"/>
                <w:sz w:val="20"/>
                <w:szCs w:val="20"/>
              </w:rPr>
            </w:pPr>
            <w:r w:rsidRPr="009E6574">
              <w:rPr>
                <w:rFonts w:cs="Open Sans"/>
                <w:sz w:val="20"/>
                <w:szCs w:val="20"/>
              </w:rPr>
              <w:t>On track</w:t>
            </w:r>
          </w:p>
        </w:tc>
      </w:tr>
      <w:tr w:rsidR="00690701" w:rsidRPr="00317DCC" w14:paraId="08917EB0" w14:textId="77777777" w:rsidTr="677C8EF4">
        <w:trPr>
          <w:trHeight w:val="194"/>
        </w:trPr>
        <w:tc>
          <w:tcPr>
            <w:tcW w:w="831" w:type="dxa"/>
            <w:vMerge/>
          </w:tcPr>
          <w:p w14:paraId="416A61F2"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293C53F0"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Niger</w:t>
            </w:r>
          </w:p>
        </w:tc>
        <w:tc>
          <w:tcPr>
            <w:tcW w:w="1830" w:type="dxa"/>
            <w:shd w:val="clear" w:color="auto" w:fill="018C85"/>
            <w:noWrap/>
            <w:hideMark/>
          </w:tcPr>
          <w:p w14:paraId="0A6CDB8F"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c>
          <w:tcPr>
            <w:tcW w:w="1872" w:type="dxa"/>
            <w:shd w:val="clear" w:color="auto" w:fill="F7CE67"/>
            <w:noWrap/>
            <w:vAlign w:val="center"/>
            <w:hideMark/>
          </w:tcPr>
          <w:p w14:paraId="0D2FA75D"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688" w:type="dxa"/>
            <w:shd w:val="clear" w:color="auto" w:fill="018C85"/>
            <w:noWrap/>
            <w:vAlign w:val="center"/>
            <w:hideMark/>
          </w:tcPr>
          <w:p w14:paraId="783446EA"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r>
      <w:tr w:rsidR="00690701" w:rsidRPr="00317DCC" w14:paraId="692A5D32" w14:textId="77777777" w:rsidTr="677C8EF4">
        <w:trPr>
          <w:trHeight w:val="194"/>
        </w:trPr>
        <w:tc>
          <w:tcPr>
            <w:tcW w:w="831" w:type="dxa"/>
            <w:vMerge/>
          </w:tcPr>
          <w:p w14:paraId="50B5ED32"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6E596709"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Palau</w:t>
            </w:r>
          </w:p>
        </w:tc>
        <w:tc>
          <w:tcPr>
            <w:tcW w:w="1830" w:type="dxa"/>
            <w:shd w:val="clear" w:color="auto" w:fill="018C85"/>
            <w:noWrap/>
            <w:vAlign w:val="center"/>
            <w:hideMark/>
          </w:tcPr>
          <w:p w14:paraId="76D2B63C" w14:textId="77777777" w:rsidR="00690701" w:rsidRPr="00F206EE"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018C85"/>
            <w:noWrap/>
            <w:vAlign w:val="center"/>
            <w:hideMark/>
          </w:tcPr>
          <w:p w14:paraId="0CA60047" w14:textId="77777777" w:rsidR="00690701" w:rsidRPr="00F206EE" w:rsidRDefault="00690701">
            <w:pPr>
              <w:spacing w:before="60" w:after="60" w:line="240" w:lineRule="auto"/>
              <w:ind w:left="360"/>
              <w:jc w:val="left"/>
              <w:rPr>
                <w:color w:val="FFFFFF" w:themeColor="background1"/>
              </w:rPr>
            </w:pPr>
            <w:r w:rsidRPr="00F206EE">
              <w:rPr>
                <w:rFonts w:cs="Open Sans"/>
                <w:color w:val="FFFFFF" w:themeColor="background1"/>
                <w:sz w:val="20"/>
                <w:szCs w:val="20"/>
              </w:rPr>
              <w:t>Completed</w:t>
            </w:r>
          </w:p>
        </w:tc>
        <w:tc>
          <w:tcPr>
            <w:tcW w:w="1688" w:type="dxa"/>
            <w:shd w:val="clear" w:color="auto" w:fill="018C85"/>
            <w:noWrap/>
            <w:vAlign w:val="center"/>
            <w:hideMark/>
          </w:tcPr>
          <w:p w14:paraId="57656D99" w14:textId="77777777" w:rsidR="00690701" w:rsidRPr="00532B85" w:rsidRDefault="00690701">
            <w:pPr>
              <w:spacing w:before="60" w:after="60" w:line="240" w:lineRule="auto"/>
              <w:ind w:left="360"/>
              <w:jc w:val="left"/>
              <w:rPr>
                <w:rFonts w:cs="Open Sans"/>
                <w:sz w:val="20"/>
                <w:szCs w:val="20"/>
              </w:rPr>
            </w:pPr>
            <w:r w:rsidRPr="00F206EE">
              <w:rPr>
                <w:rFonts w:cs="Open Sans"/>
                <w:color w:val="FFFFFF" w:themeColor="background1"/>
                <w:sz w:val="20"/>
                <w:szCs w:val="20"/>
              </w:rPr>
              <w:t>Completed</w:t>
            </w:r>
          </w:p>
        </w:tc>
      </w:tr>
      <w:tr w:rsidR="00690701" w:rsidRPr="00317DCC" w14:paraId="5AEDEC26" w14:textId="77777777" w:rsidTr="0CDC71C7">
        <w:trPr>
          <w:trHeight w:val="194"/>
        </w:trPr>
        <w:tc>
          <w:tcPr>
            <w:tcW w:w="831" w:type="dxa"/>
            <w:vMerge/>
          </w:tcPr>
          <w:p w14:paraId="19464678"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380A345F"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Saint Kitts and Nevis</w:t>
            </w:r>
          </w:p>
        </w:tc>
        <w:tc>
          <w:tcPr>
            <w:tcW w:w="1830" w:type="dxa"/>
            <w:shd w:val="clear" w:color="auto" w:fill="018C85"/>
            <w:noWrap/>
            <w:vAlign w:val="center"/>
            <w:hideMark/>
          </w:tcPr>
          <w:p w14:paraId="7A8804FD" w14:textId="77777777" w:rsidR="00690701" w:rsidRPr="00532B85" w:rsidRDefault="00690701">
            <w:pPr>
              <w:spacing w:before="60" w:after="60" w:line="240" w:lineRule="auto"/>
              <w:ind w:left="360"/>
              <w:jc w:val="left"/>
              <w:rPr>
                <w:rFonts w:cs="Open Sans"/>
                <w:sz w:val="20"/>
                <w:szCs w:val="20"/>
              </w:rPr>
            </w:pPr>
            <w:r w:rsidRPr="00F206EE">
              <w:rPr>
                <w:rFonts w:cs="Open Sans"/>
                <w:color w:val="FFFFFF" w:themeColor="background1"/>
                <w:sz w:val="20"/>
                <w:szCs w:val="20"/>
              </w:rPr>
              <w:t>Completed</w:t>
            </w:r>
          </w:p>
        </w:tc>
        <w:tc>
          <w:tcPr>
            <w:tcW w:w="1872" w:type="dxa"/>
            <w:shd w:val="clear" w:color="auto" w:fill="FFCC4F" w:themeFill="accent4"/>
            <w:noWrap/>
            <w:vAlign w:val="center"/>
            <w:hideMark/>
          </w:tcPr>
          <w:p w14:paraId="4F344E01" w14:textId="77777777" w:rsidR="00690701" w:rsidRPr="00532B85" w:rsidRDefault="00690701">
            <w:pPr>
              <w:spacing w:before="60" w:after="60" w:line="240" w:lineRule="auto"/>
              <w:ind w:left="360"/>
              <w:jc w:val="left"/>
            </w:pPr>
            <w:r w:rsidRPr="580FBF67">
              <w:rPr>
                <w:rFonts w:cs="Open Sans"/>
                <w:sz w:val="20"/>
                <w:szCs w:val="20"/>
              </w:rPr>
              <w:t>On track</w:t>
            </w:r>
          </w:p>
        </w:tc>
        <w:tc>
          <w:tcPr>
            <w:tcW w:w="1688" w:type="dxa"/>
            <w:shd w:val="clear" w:color="auto" w:fill="018C85"/>
            <w:noWrap/>
            <w:vAlign w:val="center"/>
            <w:hideMark/>
          </w:tcPr>
          <w:p w14:paraId="24A14C04" w14:textId="77777777" w:rsidR="00690701" w:rsidRPr="00532B85" w:rsidRDefault="00690701">
            <w:pPr>
              <w:spacing w:before="60" w:after="60" w:line="240" w:lineRule="auto"/>
              <w:ind w:left="360"/>
              <w:jc w:val="left"/>
              <w:rPr>
                <w:rFonts w:cs="Open Sans"/>
                <w:sz w:val="20"/>
                <w:szCs w:val="20"/>
              </w:rPr>
            </w:pPr>
            <w:r w:rsidRPr="00F206EE">
              <w:rPr>
                <w:rFonts w:cs="Open Sans"/>
                <w:color w:val="FFFFFF" w:themeColor="background1"/>
                <w:sz w:val="20"/>
                <w:szCs w:val="20"/>
              </w:rPr>
              <w:t>Completed</w:t>
            </w:r>
          </w:p>
        </w:tc>
      </w:tr>
      <w:tr w:rsidR="00690701" w:rsidRPr="00317DCC" w14:paraId="32726E21" w14:textId="77777777" w:rsidTr="0CDC71C7">
        <w:trPr>
          <w:trHeight w:val="194"/>
        </w:trPr>
        <w:tc>
          <w:tcPr>
            <w:tcW w:w="831" w:type="dxa"/>
            <w:vMerge/>
          </w:tcPr>
          <w:p w14:paraId="74895E92"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54FDEF0A"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Saint Lucia</w:t>
            </w:r>
          </w:p>
        </w:tc>
        <w:tc>
          <w:tcPr>
            <w:tcW w:w="1830" w:type="dxa"/>
            <w:shd w:val="clear" w:color="auto" w:fill="018C85"/>
            <w:noWrap/>
            <w:vAlign w:val="center"/>
            <w:hideMark/>
          </w:tcPr>
          <w:p w14:paraId="2CC830F8"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F7CE67"/>
            <w:noWrap/>
            <w:hideMark/>
          </w:tcPr>
          <w:p w14:paraId="170B67DF" w14:textId="37A5E934" w:rsidR="00690701" w:rsidRPr="00532B85" w:rsidRDefault="00690701">
            <w:pPr>
              <w:spacing w:before="60" w:after="60" w:line="240" w:lineRule="auto"/>
              <w:ind w:left="360"/>
              <w:jc w:val="left"/>
            </w:pPr>
            <w:r>
              <w:rPr>
                <w:rFonts w:cs="Open Sans"/>
                <w:sz w:val="20"/>
                <w:szCs w:val="20"/>
              </w:rPr>
              <w:t>On</w:t>
            </w:r>
            <w:r w:rsidR="2018D3DF" w:rsidRPr="0CDC71C7">
              <w:rPr>
                <w:rFonts w:cs="Open Sans"/>
                <w:sz w:val="20"/>
                <w:szCs w:val="20"/>
              </w:rPr>
              <w:t xml:space="preserve"> </w:t>
            </w:r>
            <w:r>
              <w:rPr>
                <w:rFonts w:cs="Open Sans"/>
                <w:sz w:val="20"/>
                <w:szCs w:val="20"/>
              </w:rPr>
              <w:t>track</w:t>
            </w:r>
          </w:p>
        </w:tc>
        <w:tc>
          <w:tcPr>
            <w:tcW w:w="1688" w:type="dxa"/>
            <w:shd w:val="clear" w:color="auto" w:fill="008B85" w:themeFill="accent3"/>
            <w:noWrap/>
            <w:hideMark/>
          </w:tcPr>
          <w:p w14:paraId="2B9C9E52" w14:textId="450A0F99" w:rsidR="00690701" w:rsidRPr="00532B85" w:rsidRDefault="03B0A4FF">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r>
      <w:tr w:rsidR="00690701" w:rsidRPr="00317DCC" w14:paraId="095370B1" w14:textId="77777777" w:rsidTr="677C8EF4">
        <w:trPr>
          <w:trHeight w:val="483"/>
        </w:trPr>
        <w:tc>
          <w:tcPr>
            <w:tcW w:w="831" w:type="dxa"/>
            <w:vMerge/>
          </w:tcPr>
          <w:p w14:paraId="6AF7C69F"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3E8BAB69"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Saint Vincent and the Grenadines</w:t>
            </w:r>
          </w:p>
        </w:tc>
        <w:tc>
          <w:tcPr>
            <w:tcW w:w="1830" w:type="dxa"/>
            <w:shd w:val="clear" w:color="auto" w:fill="018C85"/>
            <w:noWrap/>
            <w:vAlign w:val="center"/>
            <w:hideMark/>
          </w:tcPr>
          <w:p w14:paraId="0F3BB97C" w14:textId="77777777" w:rsidR="00690701" w:rsidRPr="00532B85" w:rsidRDefault="00690701">
            <w:pPr>
              <w:spacing w:before="60" w:after="60" w:line="240" w:lineRule="auto"/>
              <w:ind w:left="360"/>
              <w:jc w:val="left"/>
              <w:rPr>
                <w:rFonts w:cs="Open Sans"/>
                <w:color w:val="FFFFFF" w:themeColor="background1"/>
                <w:sz w:val="20"/>
                <w:szCs w:val="20"/>
              </w:rPr>
            </w:pPr>
            <w:r w:rsidRPr="00532B85">
              <w:rPr>
                <w:rFonts w:cs="Open Sans"/>
                <w:color w:val="FFFFFF" w:themeColor="background1"/>
                <w:sz w:val="20"/>
                <w:szCs w:val="20"/>
              </w:rPr>
              <w:t>Completed</w:t>
            </w:r>
          </w:p>
        </w:tc>
        <w:tc>
          <w:tcPr>
            <w:tcW w:w="1872" w:type="dxa"/>
            <w:shd w:val="clear" w:color="auto" w:fill="F7CE67"/>
            <w:noWrap/>
            <w:hideMark/>
          </w:tcPr>
          <w:p w14:paraId="01477177"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688" w:type="dxa"/>
            <w:shd w:val="clear" w:color="auto" w:fill="018C85"/>
            <w:noWrap/>
            <w:hideMark/>
          </w:tcPr>
          <w:p w14:paraId="2CD8842D" w14:textId="77777777" w:rsidR="00690701" w:rsidRPr="00532B85" w:rsidRDefault="00690701">
            <w:pPr>
              <w:spacing w:before="60" w:after="60" w:line="240" w:lineRule="auto"/>
              <w:ind w:left="360"/>
              <w:jc w:val="left"/>
            </w:pPr>
            <w:r w:rsidRPr="004E184C">
              <w:rPr>
                <w:rFonts w:cs="Open Sans"/>
                <w:color w:val="FFFFFF" w:themeColor="background1"/>
                <w:sz w:val="20"/>
                <w:szCs w:val="20"/>
              </w:rPr>
              <w:t>Completed</w:t>
            </w:r>
          </w:p>
        </w:tc>
      </w:tr>
      <w:tr w:rsidR="00690701" w:rsidRPr="00317DCC" w14:paraId="40C11628" w14:textId="77777777" w:rsidTr="0CDC71C7">
        <w:trPr>
          <w:trHeight w:val="194"/>
        </w:trPr>
        <w:tc>
          <w:tcPr>
            <w:tcW w:w="831" w:type="dxa"/>
            <w:vMerge/>
          </w:tcPr>
          <w:p w14:paraId="6116FA12"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49847CD6"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Seychelles</w:t>
            </w:r>
          </w:p>
        </w:tc>
        <w:tc>
          <w:tcPr>
            <w:tcW w:w="1830" w:type="dxa"/>
            <w:shd w:val="clear" w:color="auto" w:fill="018C85"/>
            <w:noWrap/>
            <w:hideMark/>
          </w:tcPr>
          <w:p w14:paraId="7AB5FC4C" w14:textId="77777777" w:rsidR="00690701" w:rsidRPr="00532B85" w:rsidRDefault="00690701">
            <w:pPr>
              <w:spacing w:before="60" w:after="60" w:line="240" w:lineRule="auto"/>
              <w:ind w:left="360"/>
              <w:jc w:val="left"/>
            </w:pPr>
            <w:r w:rsidRPr="00546D67">
              <w:rPr>
                <w:rFonts w:cs="Open Sans"/>
                <w:color w:val="FFFFFF" w:themeColor="background1"/>
                <w:sz w:val="20"/>
                <w:szCs w:val="20"/>
              </w:rPr>
              <w:t>Completed</w:t>
            </w:r>
          </w:p>
        </w:tc>
        <w:tc>
          <w:tcPr>
            <w:tcW w:w="1872" w:type="dxa"/>
            <w:shd w:val="clear" w:color="auto" w:fill="018C85"/>
            <w:noWrap/>
            <w:vAlign w:val="center"/>
            <w:hideMark/>
          </w:tcPr>
          <w:p w14:paraId="329CF8A8" w14:textId="77777777" w:rsidR="00690701" w:rsidRPr="00532B85" w:rsidRDefault="00690701">
            <w:pPr>
              <w:spacing w:before="60" w:after="60" w:line="240" w:lineRule="auto"/>
              <w:ind w:left="360"/>
              <w:jc w:val="left"/>
              <w:rPr>
                <w:rFonts w:cs="Open Sans"/>
                <w:color w:val="FFFFFF" w:themeColor="background1"/>
                <w:sz w:val="20"/>
                <w:szCs w:val="20"/>
              </w:rPr>
            </w:pPr>
            <w:r w:rsidRPr="5AD2ABAC">
              <w:rPr>
                <w:rFonts w:cs="Open Sans"/>
                <w:color w:val="FFFFFF" w:themeColor="background1"/>
                <w:sz w:val="20"/>
                <w:szCs w:val="20"/>
              </w:rPr>
              <w:t>Completed</w:t>
            </w:r>
          </w:p>
        </w:tc>
        <w:tc>
          <w:tcPr>
            <w:tcW w:w="1688" w:type="dxa"/>
            <w:shd w:val="clear" w:color="auto" w:fill="008B85" w:themeFill="accent3"/>
            <w:noWrap/>
            <w:vAlign w:val="center"/>
            <w:hideMark/>
          </w:tcPr>
          <w:p w14:paraId="4AFC010C" w14:textId="12F35406" w:rsidR="00690701" w:rsidRPr="00532B85" w:rsidRDefault="1CBF3E82">
            <w:pPr>
              <w:spacing w:before="60" w:after="60" w:line="240" w:lineRule="auto"/>
              <w:ind w:left="360"/>
              <w:jc w:val="left"/>
              <w:rPr>
                <w:rFonts w:cs="Open Sans"/>
                <w:color w:val="FFFFFF" w:themeColor="background1"/>
                <w:sz w:val="20"/>
                <w:szCs w:val="20"/>
              </w:rPr>
            </w:pPr>
            <w:r w:rsidRPr="0CDC71C7">
              <w:rPr>
                <w:rFonts w:cs="Open Sans"/>
                <w:color w:val="FFFFFF" w:themeColor="background1"/>
                <w:sz w:val="20"/>
                <w:szCs w:val="20"/>
              </w:rPr>
              <w:t>Completed</w:t>
            </w:r>
          </w:p>
        </w:tc>
      </w:tr>
      <w:tr w:rsidR="00690701" w:rsidRPr="00317DCC" w14:paraId="4246AF61" w14:textId="77777777" w:rsidTr="677C8EF4">
        <w:trPr>
          <w:trHeight w:val="194"/>
        </w:trPr>
        <w:tc>
          <w:tcPr>
            <w:tcW w:w="831" w:type="dxa"/>
            <w:vMerge/>
          </w:tcPr>
          <w:p w14:paraId="4A7BCC7B"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0A605D42"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Somalia</w:t>
            </w:r>
          </w:p>
        </w:tc>
        <w:tc>
          <w:tcPr>
            <w:tcW w:w="1830" w:type="dxa"/>
            <w:shd w:val="clear" w:color="auto" w:fill="018C85"/>
            <w:noWrap/>
            <w:hideMark/>
          </w:tcPr>
          <w:p w14:paraId="2DE666E6" w14:textId="77777777" w:rsidR="00690701" w:rsidRPr="00532B85" w:rsidRDefault="00690701">
            <w:pPr>
              <w:spacing w:before="60" w:after="60" w:line="240" w:lineRule="auto"/>
              <w:ind w:left="360"/>
              <w:jc w:val="left"/>
            </w:pPr>
            <w:r w:rsidRPr="00A945B9">
              <w:rPr>
                <w:rFonts w:cs="Open Sans"/>
                <w:color w:val="FFFFFF" w:themeColor="background1"/>
                <w:sz w:val="20"/>
                <w:szCs w:val="20"/>
              </w:rPr>
              <w:t>Completed</w:t>
            </w:r>
          </w:p>
        </w:tc>
        <w:tc>
          <w:tcPr>
            <w:tcW w:w="1872" w:type="dxa"/>
            <w:shd w:val="clear" w:color="auto" w:fill="F7CE67"/>
            <w:noWrap/>
            <w:vAlign w:val="center"/>
            <w:hideMark/>
          </w:tcPr>
          <w:p w14:paraId="7B0648B0" w14:textId="77777777" w:rsidR="00690701" w:rsidRPr="00532B85" w:rsidRDefault="00690701">
            <w:pPr>
              <w:spacing w:before="60" w:after="60" w:line="240" w:lineRule="auto"/>
              <w:ind w:left="360"/>
              <w:jc w:val="left"/>
              <w:rPr>
                <w:rFonts w:cs="Open Sans"/>
                <w:sz w:val="20"/>
                <w:szCs w:val="20"/>
              </w:rPr>
            </w:pPr>
            <w:r>
              <w:rPr>
                <w:rFonts w:cs="Open Sans"/>
                <w:sz w:val="20"/>
                <w:szCs w:val="20"/>
              </w:rPr>
              <w:t>On-track</w:t>
            </w:r>
          </w:p>
        </w:tc>
        <w:tc>
          <w:tcPr>
            <w:tcW w:w="1688" w:type="dxa"/>
            <w:shd w:val="clear" w:color="auto" w:fill="018C85"/>
            <w:noWrap/>
            <w:vAlign w:val="center"/>
            <w:hideMark/>
          </w:tcPr>
          <w:p w14:paraId="3B1F7E8D" w14:textId="77777777" w:rsidR="00690701" w:rsidRPr="00532B85" w:rsidRDefault="00690701">
            <w:pPr>
              <w:spacing w:before="60" w:after="60" w:line="240" w:lineRule="auto"/>
              <w:ind w:left="360"/>
              <w:jc w:val="left"/>
              <w:rPr>
                <w:rFonts w:cs="Open Sans"/>
                <w:sz w:val="20"/>
                <w:szCs w:val="20"/>
              </w:rPr>
            </w:pPr>
            <w:r w:rsidRPr="00866A6D">
              <w:rPr>
                <w:rFonts w:cs="Open Sans"/>
                <w:color w:val="FFFFFF" w:themeColor="background1"/>
                <w:sz w:val="20"/>
                <w:szCs w:val="20"/>
              </w:rPr>
              <w:t>Completed</w:t>
            </w:r>
          </w:p>
        </w:tc>
      </w:tr>
      <w:tr w:rsidR="00690701" w:rsidRPr="00317DCC" w14:paraId="37C7BE5B" w14:textId="77777777" w:rsidTr="677C8EF4">
        <w:trPr>
          <w:trHeight w:val="194"/>
        </w:trPr>
        <w:tc>
          <w:tcPr>
            <w:tcW w:w="831" w:type="dxa"/>
            <w:vMerge/>
          </w:tcPr>
          <w:p w14:paraId="2CC2F302"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4DF1543D"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Suriname</w:t>
            </w:r>
          </w:p>
        </w:tc>
        <w:tc>
          <w:tcPr>
            <w:tcW w:w="1830" w:type="dxa"/>
            <w:shd w:val="clear" w:color="auto" w:fill="018C85"/>
            <w:noWrap/>
            <w:hideMark/>
          </w:tcPr>
          <w:p w14:paraId="3E39910F" w14:textId="77777777" w:rsidR="00690701" w:rsidRPr="00A945B9" w:rsidRDefault="00690701">
            <w:pPr>
              <w:spacing w:before="60" w:after="60" w:line="240" w:lineRule="auto"/>
              <w:ind w:left="360"/>
              <w:jc w:val="left"/>
              <w:rPr>
                <w:color w:val="FFFFFF" w:themeColor="background1"/>
              </w:rPr>
            </w:pPr>
            <w:r w:rsidRPr="00A945B9">
              <w:rPr>
                <w:rFonts w:cs="Open Sans"/>
                <w:color w:val="FFFFFF" w:themeColor="background1"/>
                <w:sz w:val="20"/>
                <w:szCs w:val="20"/>
              </w:rPr>
              <w:t>Completed</w:t>
            </w:r>
          </w:p>
        </w:tc>
        <w:tc>
          <w:tcPr>
            <w:tcW w:w="1872" w:type="dxa"/>
            <w:shd w:val="clear" w:color="auto" w:fill="018C85"/>
            <w:noWrap/>
            <w:vAlign w:val="center"/>
            <w:hideMark/>
          </w:tcPr>
          <w:p w14:paraId="417ED1AD" w14:textId="77777777" w:rsidR="00690701" w:rsidRPr="00A945B9" w:rsidRDefault="00690701">
            <w:pPr>
              <w:spacing w:before="60" w:after="60" w:line="240" w:lineRule="auto"/>
              <w:ind w:left="360"/>
              <w:jc w:val="left"/>
              <w:rPr>
                <w:color w:val="FFFFFF" w:themeColor="background1"/>
              </w:rPr>
            </w:pPr>
            <w:r w:rsidRPr="00A945B9">
              <w:rPr>
                <w:rFonts w:cs="Open Sans"/>
                <w:color w:val="FFFFFF" w:themeColor="background1"/>
                <w:sz w:val="20"/>
                <w:szCs w:val="20"/>
              </w:rPr>
              <w:t>Completed</w:t>
            </w:r>
          </w:p>
        </w:tc>
        <w:tc>
          <w:tcPr>
            <w:tcW w:w="1688" w:type="dxa"/>
            <w:shd w:val="clear" w:color="auto" w:fill="018C85"/>
            <w:noWrap/>
            <w:vAlign w:val="center"/>
            <w:hideMark/>
          </w:tcPr>
          <w:p w14:paraId="393EC2E6"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r>
      <w:tr w:rsidR="00690701" w:rsidRPr="00317DCC" w14:paraId="72F65A3B" w14:textId="77777777" w:rsidTr="677C8EF4">
        <w:trPr>
          <w:trHeight w:val="194"/>
        </w:trPr>
        <w:tc>
          <w:tcPr>
            <w:tcW w:w="831" w:type="dxa"/>
            <w:vMerge/>
          </w:tcPr>
          <w:p w14:paraId="04DE89DF"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685BD732"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Tajikistan</w:t>
            </w:r>
          </w:p>
        </w:tc>
        <w:tc>
          <w:tcPr>
            <w:tcW w:w="1830" w:type="dxa"/>
            <w:shd w:val="clear" w:color="auto" w:fill="018C85"/>
            <w:noWrap/>
            <w:vAlign w:val="center"/>
            <w:hideMark/>
          </w:tcPr>
          <w:p w14:paraId="265B994B" w14:textId="77777777" w:rsidR="00690701" w:rsidRPr="00532B85" w:rsidRDefault="00690701">
            <w:pPr>
              <w:spacing w:before="60" w:after="60" w:line="240" w:lineRule="auto"/>
              <w:ind w:left="360"/>
              <w:jc w:val="left"/>
              <w:rPr>
                <w:rFonts w:cs="Open Sans"/>
                <w:sz w:val="20"/>
                <w:szCs w:val="20"/>
              </w:rPr>
            </w:pPr>
            <w:r w:rsidRPr="00532B85">
              <w:rPr>
                <w:rFonts w:cs="Open Sans"/>
                <w:color w:val="FFFFFF" w:themeColor="background1"/>
                <w:sz w:val="20"/>
                <w:szCs w:val="20"/>
              </w:rPr>
              <w:t>Completed</w:t>
            </w:r>
          </w:p>
        </w:tc>
        <w:tc>
          <w:tcPr>
            <w:tcW w:w="1872" w:type="dxa"/>
            <w:shd w:val="clear" w:color="auto" w:fill="F7CE67"/>
            <w:noWrap/>
            <w:vAlign w:val="center"/>
            <w:hideMark/>
          </w:tcPr>
          <w:p w14:paraId="23149CF4" w14:textId="77777777" w:rsidR="00690701" w:rsidRPr="00532B85" w:rsidRDefault="00690701">
            <w:pPr>
              <w:spacing w:before="60" w:after="60" w:line="240" w:lineRule="auto"/>
              <w:ind w:left="360"/>
              <w:jc w:val="left"/>
            </w:pPr>
            <w:r w:rsidRPr="6171281E">
              <w:rPr>
                <w:rFonts w:cs="Open Sans"/>
                <w:sz w:val="20"/>
                <w:szCs w:val="20"/>
              </w:rPr>
              <w:t>On track</w:t>
            </w:r>
          </w:p>
        </w:tc>
        <w:tc>
          <w:tcPr>
            <w:tcW w:w="1688" w:type="dxa"/>
            <w:shd w:val="clear" w:color="auto" w:fill="F7CE67"/>
            <w:noWrap/>
            <w:vAlign w:val="center"/>
            <w:hideMark/>
          </w:tcPr>
          <w:p w14:paraId="68D5F3C9" w14:textId="77777777" w:rsidR="00690701" w:rsidRPr="00532B85" w:rsidRDefault="00690701">
            <w:pPr>
              <w:spacing w:before="60" w:after="60" w:line="240" w:lineRule="auto"/>
              <w:ind w:left="360"/>
              <w:jc w:val="left"/>
            </w:pPr>
            <w:r w:rsidRPr="071F5A16">
              <w:rPr>
                <w:rFonts w:cs="Open Sans"/>
                <w:sz w:val="20"/>
                <w:szCs w:val="20"/>
              </w:rPr>
              <w:t>On track</w:t>
            </w:r>
          </w:p>
        </w:tc>
      </w:tr>
      <w:tr w:rsidR="00690701" w:rsidRPr="00317DCC" w14:paraId="326D83CD" w14:textId="77777777" w:rsidTr="677C8EF4">
        <w:trPr>
          <w:trHeight w:val="194"/>
        </w:trPr>
        <w:tc>
          <w:tcPr>
            <w:tcW w:w="831" w:type="dxa"/>
            <w:vMerge/>
          </w:tcPr>
          <w:p w14:paraId="6FF07F12" w14:textId="77777777" w:rsidR="00690701" w:rsidRPr="002306A8" w:rsidRDefault="00690701">
            <w:pPr>
              <w:spacing w:before="60" w:after="60" w:line="240" w:lineRule="auto"/>
              <w:jc w:val="left"/>
              <w:rPr>
                <w:rFonts w:cs="Open Sans"/>
                <w:b/>
                <w:sz w:val="20"/>
                <w:szCs w:val="20"/>
              </w:rPr>
            </w:pPr>
          </w:p>
        </w:tc>
        <w:tc>
          <w:tcPr>
            <w:tcW w:w="2910" w:type="dxa"/>
            <w:shd w:val="clear" w:color="auto" w:fill="C3D3EA" w:themeFill="accent1" w:themeFillTint="33"/>
            <w:noWrap/>
            <w:vAlign w:val="center"/>
            <w:hideMark/>
          </w:tcPr>
          <w:p w14:paraId="7847B645" w14:textId="77777777" w:rsidR="00690701" w:rsidRPr="002306A8" w:rsidRDefault="00690701">
            <w:pPr>
              <w:spacing w:before="60" w:after="60" w:line="240" w:lineRule="auto"/>
              <w:jc w:val="left"/>
              <w:rPr>
                <w:rFonts w:cs="Open Sans"/>
                <w:b/>
                <w:sz w:val="20"/>
                <w:szCs w:val="20"/>
              </w:rPr>
            </w:pPr>
            <w:r w:rsidRPr="002306A8">
              <w:rPr>
                <w:rFonts w:cs="Open Sans"/>
                <w:b/>
                <w:sz w:val="20"/>
                <w:szCs w:val="20"/>
              </w:rPr>
              <w:t>Trinidad and Tobago</w:t>
            </w:r>
          </w:p>
        </w:tc>
        <w:tc>
          <w:tcPr>
            <w:tcW w:w="1830" w:type="dxa"/>
            <w:shd w:val="clear" w:color="auto" w:fill="F7CE67"/>
            <w:noWrap/>
            <w:vAlign w:val="center"/>
            <w:hideMark/>
          </w:tcPr>
          <w:p w14:paraId="72286216"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872" w:type="dxa"/>
            <w:shd w:val="clear" w:color="auto" w:fill="F7CE67"/>
            <w:noWrap/>
            <w:vAlign w:val="center"/>
            <w:hideMark/>
          </w:tcPr>
          <w:p w14:paraId="1247CAEC" w14:textId="77777777" w:rsidR="00690701" w:rsidRPr="00532B85" w:rsidRDefault="00690701">
            <w:pPr>
              <w:spacing w:before="60" w:after="60" w:line="240" w:lineRule="auto"/>
              <w:ind w:left="360"/>
              <w:jc w:val="left"/>
            </w:pPr>
            <w:r w:rsidRPr="79EE17A4">
              <w:rPr>
                <w:rFonts w:cs="Open Sans"/>
                <w:sz w:val="20"/>
                <w:szCs w:val="20"/>
              </w:rPr>
              <w:t>On track</w:t>
            </w:r>
          </w:p>
        </w:tc>
        <w:tc>
          <w:tcPr>
            <w:tcW w:w="1688" w:type="dxa"/>
            <w:shd w:val="clear" w:color="auto" w:fill="018C85"/>
            <w:noWrap/>
            <w:vAlign w:val="center"/>
            <w:hideMark/>
          </w:tcPr>
          <w:p w14:paraId="67408CFC" w14:textId="77777777" w:rsidR="00690701" w:rsidRPr="00532B85" w:rsidRDefault="00690701">
            <w:pPr>
              <w:spacing w:before="60" w:after="60" w:line="240" w:lineRule="auto"/>
              <w:ind w:left="360"/>
              <w:jc w:val="left"/>
            </w:pPr>
            <w:r w:rsidRPr="00F206EE">
              <w:rPr>
                <w:rFonts w:cs="Open Sans"/>
                <w:color w:val="FFFFFF" w:themeColor="background1"/>
                <w:sz w:val="20"/>
                <w:szCs w:val="20"/>
              </w:rPr>
              <w:t>Completed</w:t>
            </w:r>
          </w:p>
        </w:tc>
      </w:tr>
      <w:tr w:rsidR="00690701" w:rsidRPr="00317DCC" w14:paraId="53D7A862" w14:textId="77777777" w:rsidTr="0CDC71C7">
        <w:trPr>
          <w:trHeight w:val="194"/>
        </w:trPr>
        <w:tc>
          <w:tcPr>
            <w:tcW w:w="831" w:type="dxa"/>
          </w:tcPr>
          <w:p w14:paraId="2E662AA9" w14:textId="77777777" w:rsidR="00690701" w:rsidRPr="002306A8" w:rsidRDefault="00690701">
            <w:pPr>
              <w:spacing w:before="60" w:after="60" w:line="240" w:lineRule="auto"/>
              <w:jc w:val="left"/>
              <w:rPr>
                <w:rFonts w:cs="Open Sans"/>
                <w:b/>
                <w:sz w:val="20"/>
                <w:szCs w:val="20"/>
              </w:rPr>
            </w:pPr>
          </w:p>
        </w:tc>
        <w:tc>
          <w:tcPr>
            <w:tcW w:w="2910" w:type="dxa"/>
            <w:noWrap/>
            <w:vAlign w:val="center"/>
          </w:tcPr>
          <w:p w14:paraId="207F7169" w14:textId="77777777" w:rsidR="00690701" w:rsidRPr="002306A8" w:rsidRDefault="00690701">
            <w:pPr>
              <w:spacing w:before="60" w:after="60" w:line="240" w:lineRule="auto"/>
              <w:jc w:val="left"/>
              <w:rPr>
                <w:rFonts w:cs="Open Sans"/>
                <w:b/>
                <w:sz w:val="20"/>
                <w:szCs w:val="20"/>
              </w:rPr>
            </w:pPr>
            <w:r>
              <w:rPr>
                <w:rFonts w:cs="Open Sans"/>
                <w:b/>
                <w:sz w:val="20"/>
                <w:szCs w:val="20"/>
              </w:rPr>
              <w:t>Sierra Leone</w:t>
            </w:r>
          </w:p>
        </w:tc>
        <w:tc>
          <w:tcPr>
            <w:tcW w:w="1830" w:type="dxa"/>
            <w:shd w:val="clear" w:color="auto" w:fill="F7CE67"/>
            <w:noWrap/>
            <w:vAlign w:val="center"/>
          </w:tcPr>
          <w:p w14:paraId="542E7EB8" w14:textId="77777777" w:rsidR="00690701" w:rsidRPr="00532B85" w:rsidRDefault="00690701">
            <w:pPr>
              <w:spacing w:before="60" w:after="60" w:line="240" w:lineRule="auto"/>
              <w:ind w:left="360"/>
              <w:jc w:val="left"/>
              <w:rPr>
                <w:rFonts w:cs="Open Sans"/>
                <w:sz w:val="20"/>
                <w:szCs w:val="20"/>
              </w:rPr>
            </w:pPr>
            <w:r w:rsidRPr="00532B85">
              <w:rPr>
                <w:rFonts w:cs="Open Sans"/>
                <w:sz w:val="20"/>
                <w:szCs w:val="20"/>
              </w:rPr>
              <w:t>On track</w:t>
            </w:r>
          </w:p>
        </w:tc>
        <w:tc>
          <w:tcPr>
            <w:tcW w:w="1872" w:type="dxa"/>
            <w:shd w:val="clear" w:color="auto" w:fill="F7CE67"/>
            <w:noWrap/>
            <w:vAlign w:val="center"/>
          </w:tcPr>
          <w:p w14:paraId="16C02DD1" w14:textId="77777777" w:rsidR="00690701" w:rsidRPr="79EE17A4" w:rsidRDefault="00690701">
            <w:pPr>
              <w:spacing w:before="60" w:after="60" w:line="240" w:lineRule="auto"/>
              <w:ind w:left="360"/>
              <w:jc w:val="left"/>
              <w:rPr>
                <w:rFonts w:cs="Open Sans"/>
                <w:sz w:val="20"/>
                <w:szCs w:val="20"/>
              </w:rPr>
            </w:pPr>
            <w:r w:rsidRPr="79EE17A4">
              <w:rPr>
                <w:rFonts w:cs="Open Sans"/>
                <w:sz w:val="20"/>
                <w:szCs w:val="20"/>
              </w:rPr>
              <w:t>On track</w:t>
            </w:r>
          </w:p>
        </w:tc>
        <w:tc>
          <w:tcPr>
            <w:tcW w:w="1688" w:type="dxa"/>
            <w:shd w:val="clear" w:color="auto" w:fill="F7CE67"/>
            <w:noWrap/>
            <w:vAlign w:val="center"/>
          </w:tcPr>
          <w:p w14:paraId="65AA5DA6" w14:textId="77777777" w:rsidR="00690701" w:rsidRPr="00F206EE" w:rsidRDefault="00690701">
            <w:pPr>
              <w:spacing w:before="60" w:after="60" w:line="240" w:lineRule="auto"/>
              <w:ind w:left="360"/>
              <w:jc w:val="left"/>
              <w:rPr>
                <w:rFonts w:cs="Open Sans"/>
                <w:color w:val="FFFFFF" w:themeColor="background1"/>
                <w:sz w:val="20"/>
                <w:szCs w:val="20"/>
              </w:rPr>
            </w:pPr>
            <w:r w:rsidRPr="79EE17A4">
              <w:rPr>
                <w:rFonts w:cs="Open Sans"/>
                <w:sz w:val="20"/>
                <w:szCs w:val="20"/>
              </w:rPr>
              <w:t>On track</w:t>
            </w:r>
          </w:p>
        </w:tc>
      </w:tr>
    </w:tbl>
    <w:p w14:paraId="136393D7" w14:textId="77777777" w:rsidR="00690701" w:rsidRDefault="00690701" w:rsidP="00690701"/>
    <w:tbl>
      <w:tblPr>
        <w:tblStyle w:val="TableGrid"/>
        <w:tblW w:w="0" w:type="auto"/>
        <w:tblLook w:val="04A0" w:firstRow="1" w:lastRow="0" w:firstColumn="1" w:lastColumn="0" w:noHBand="0" w:noVBand="1"/>
      </w:tblPr>
      <w:tblGrid>
        <w:gridCol w:w="1301"/>
        <w:gridCol w:w="5382"/>
      </w:tblGrid>
      <w:tr w:rsidR="00690701" w14:paraId="166C6160" w14:textId="77777777">
        <w:trPr>
          <w:trHeight w:val="208"/>
        </w:trPr>
        <w:tc>
          <w:tcPr>
            <w:tcW w:w="1247" w:type="dxa"/>
            <w:shd w:val="clear" w:color="auto" w:fill="018C85"/>
            <w:vAlign w:val="center"/>
          </w:tcPr>
          <w:p w14:paraId="6E2B6995" w14:textId="77777777" w:rsidR="00690701" w:rsidRPr="00284645" w:rsidRDefault="00690701">
            <w:pPr>
              <w:spacing w:before="120" w:after="120" w:line="240" w:lineRule="auto"/>
              <w:jc w:val="center"/>
              <w:rPr>
                <w:b/>
                <w:sz w:val="20"/>
                <w:szCs w:val="22"/>
              </w:rPr>
            </w:pPr>
            <w:r w:rsidRPr="00284645">
              <w:rPr>
                <w:rFonts w:cs="Open Sans"/>
                <w:b/>
                <w:color w:val="FFFFFF" w:themeColor="background1"/>
                <w:sz w:val="20"/>
                <w:szCs w:val="22"/>
              </w:rPr>
              <w:t>Completed</w:t>
            </w:r>
          </w:p>
        </w:tc>
        <w:tc>
          <w:tcPr>
            <w:tcW w:w="5382" w:type="dxa"/>
            <w:vAlign w:val="center"/>
          </w:tcPr>
          <w:p w14:paraId="127E681A" w14:textId="77777777" w:rsidR="00690701" w:rsidRPr="00284645" w:rsidRDefault="00690701">
            <w:pPr>
              <w:spacing w:before="120" w:after="120" w:line="240" w:lineRule="auto"/>
              <w:jc w:val="left"/>
              <w:rPr>
                <w:sz w:val="20"/>
                <w:szCs w:val="22"/>
              </w:rPr>
            </w:pPr>
            <w:r w:rsidRPr="00284645">
              <w:rPr>
                <w:sz w:val="20"/>
                <w:szCs w:val="22"/>
              </w:rPr>
              <w:t>Delivered</w:t>
            </w:r>
          </w:p>
        </w:tc>
      </w:tr>
      <w:tr w:rsidR="00690701" w14:paraId="7851616C" w14:textId="77777777">
        <w:trPr>
          <w:trHeight w:val="208"/>
        </w:trPr>
        <w:tc>
          <w:tcPr>
            <w:tcW w:w="1247" w:type="dxa"/>
            <w:shd w:val="clear" w:color="auto" w:fill="F7CE67"/>
            <w:vAlign w:val="center"/>
          </w:tcPr>
          <w:p w14:paraId="56E04EA1" w14:textId="77777777" w:rsidR="00690701" w:rsidRPr="00284645" w:rsidRDefault="00690701">
            <w:pPr>
              <w:spacing w:before="120" w:after="120" w:line="240" w:lineRule="auto"/>
              <w:jc w:val="center"/>
              <w:rPr>
                <w:b/>
                <w:sz w:val="20"/>
                <w:szCs w:val="22"/>
              </w:rPr>
            </w:pPr>
            <w:r w:rsidRPr="00284645">
              <w:rPr>
                <w:rFonts w:cs="Open Sans"/>
                <w:b/>
                <w:sz w:val="20"/>
                <w:szCs w:val="22"/>
              </w:rPr>
              <w:t>On track</w:t>
            </w:r>
          </w:p>
        </w:tc>
        <w:tc>
          <w:tcPr>
            <w:tcW w:w="5382" w:type="dxa"/>
            <w:vAlign w:val="center"/>
          </w:tcPr>
          <w:p w14:paraId="76355D83" w14:textId="77777777" w:rsidR="00690701" w:rsidRPr="00284645" w:rsidRDefault="00690701">
            <w:pPr>
              <w:spacing w:before="120" w:after="120" w:line="240" w:lineRule="auto"/>
              <w:jc w:val="left"/>
              <w:rPr>
                <w:sz w:val="20"/>
                <w:szCs w:val="22"/>
              </w:rPr>
            </w:pPr>
            <w:r w:rsidRPr="00284645">
              <w:rPr>
                <w:sz w:val="20"/>
                <w:szCs w:val="22"/>
              </w:rPr>
              <w:t>Output undergoing WMO screening or timely delivery expected according to revised schedules</w:t>
            </w:r>
          </w:p>
        </w:tc>
      </w:tr>
      <w:tr w:rsidR="00690701" w14:paraId="14D073E0" w14:textId="77777777">
        <w:trPr>
          <w:trHeight w:val="68"/>
        </w:trPr>
        <w:tc>
          <w:tcPr>
            <w:tcW w:w="1247" w:type="dxa"/>
            <w:shd w:val="clear" w:color="auto" w:fill="D9654C"/>
            <w:vAlign w:val="center"/>
          </w:tcPr>
          <w:p w14:paraId="65136FBB" w14:textId="77777777" w:rsidR="00690701" w:rsidRPr="00284645" w:rsidRDefault="00690701">
            <w:pPr>
              <w:spacing w:before="120" w:after="120" w:line="240" w:lineRule="auto"/>
              <w:jc w:val="center"/>
              <w:rPr>
                <w:b/>
                <w:sz w:val="20"/>
                <w:szCs w:val="22"/>
              </w:rPr>
            </w:pPr>
            <w:r w:rsidRPr="00284645">
              <w:rPr>
                <w:rFonts w:cs="Open Sans"/>
                <w:b/>
                <w:sz w:val="20"/>
                <w:szCs w:val="22"/>
              </w:rPr>
              <w:t>Delayed</w:t>
            </w:r>
          </w:p>
        </w:tc>
        <w:tc>
          <w:tcPr>
            <w:tcW w:w="5382" w:type="dxa"/>
            <w:vAlign w:val="center"/>
          </w:tcPr>
          <w:p w14:paraId="35B250BF" w14:textId="77777777" w:rsidR="00690701" w:rsidRPr="00284645" w:rsidRDefault="00690701">
            <w:pPr>
              <w:spacing w:before="120" w:after="120" w:line="240" w:lineRule="auto"/>
              <w:jc w:val="left"/>
              <w:rPr>
                <w:sz w:val="20"/>
                <w:szCs w:val="22"/>
              </w:rPr>
            </w:pPr>
            <w:r w:rsidRPr="00284645">
              <w:rPr>
                <w:sz w:val="20"/>
                <w:szCs w:val="22"/>
              </w:rPr>
              <w:t>Delayed compared to revised schedules</w:t>
            </w:r>
          </w:p>
        </w:tc>
      </w:tr>
    </w:tbl>
    <w:p w14:paraId="1BFA0C9A" w14:textId="77777777" w:rsidR="00690701" w:rsidRDefault="00690701" w:rsidP="00690701">
      <w:pPr>
        <w:pStyle w:val="ListParagraph"/>
        <w:numPr>
          <w:ilvl w:val="0"/>
          <w:numId w:val="0"/>
        </w:numPr>
        <w:ind w:left="720"/>
      </w:pPr>
    </w:p>
    <w:p w14:paraId="62C23A92" w14:textId="77777777" w:rsidR="00690701" w:rsidRDefault="00690701" w:rsidP="00690701">
      <w:pPr>
        <w:pStyle w:val="Heading2"/>
        <w:ind w:left="720"/>
        <w:sectPr w:rsidR="00690701" w:rsidSect="00F94747">
          <w:type w:val="continuous"/>
          <w:pgSz w:w="11906" w:h="16838"/>
          <w:pgMar w:top="1440" w:right="1440" w:bottom="1440" w:left="1440" w:header="1418" w:footer="709" w:gutter="0"/>
          <w:cols w:space="708"/>
          <w:titlePg/>
          <w:docGrid w:linePitch="360"/>
        </w:sectPr>
      </w:pPr>
    </w:p>
    <w:p w14:paraId="58FAE8E2" w14:textId="1DAFF8D8" w:rsidR="00690701" w:rsidRPr="00A84532" w:rsidRDefault="00690701" w:rsidP="00B73A94">
      <w:pPr>
        <w:pStyle w:val="Heading1"/>
        <w:numPr>
          <w:ilvl w:val="0"/>
          <w:numId w:val="0"/>
        </w:numPr>
        <w:ind w:left="432" w:hanging="432"/>
        <w:rPr>
          <w:lang w:eastAsia="ko-KR"/>
        </w:rPr>
      </w:pPr>
      <w:bookmarkStart w:id="28" w:name="_Ref177476649"/>
      <w:bookmarkStart w:id="29" w:name="_Ref177476658"/>
      <w:bookmarkStart w:id="30" w:name="_Toc196471708"/>
      <w:bookmarkStart w:id="31" w:name="_Toc687543506"/>
      <w:r>
        <w:lastRenderedPageBreak/>
        <w:t xml:space="preserve">Annex 3: Investment </w:t>
      </w:r>
      <w:r w:rsidRPr="06553CDB">
        <w:rPr>
          <w:lang w:eastAsia="ko-KR"/>
        </w:rPr>
        <w:t>phase: portfolio summary</w:t>
      </w:r>
      <w:bookmarkEnd w:id="28"/>
      <w:bookmarkEnd w:id="29"/>
      <w:bookmarkEnd w:id="30"/>
      <w:bookmarkEnd w:id="31"/>
    </w:p>
    <w:tbl>
      <w:tblPr>
        <w:tblW w:w="0" w:type="auto"/>
        <w:tblLook w:val="04A0" w:firstRow="1" w:lastRow="0" w:firstColumn="1" w:lastColumn="0" w:noHBand="0" w:noVBand="1"/>
      </w:tblPr>
      <w:tblGrid>
        <w:gridCol w:w="3681"/>
        <w:gridCol w:w="1843"/>
        <w:gridCol w:w="1134"/>
        <w:gridCol w:w="1984"/>
        <w:gridCol w:w="1701"/>
        <w:gridCol w:w="2268"/>
        <w:gridCol w:w="2268"/>
        <w:gridCol w:w="2835"/>
      </w:tblGrid>
      <w:tr w:rsidR="00690701" w:rsidRPr="008D26AB" w14:paraId="4C7C9CFF" w14:textId="77777777">
        <w:trPr>
          <w:trHeight w:val="320"/>
          <w:tblHeader/>
        </w:trPr>
        <w:tc>
          <w:tcPr>
            <w:tcW w:w="3681" w:type="dxa"/>
            <w:tcBorders>
              <w:top w:val="single" w:sz="4" w:space="0" w:color="auto"/>
              <w:left w:val="single" w:sz="4" w:space="0" w:color="auto"/>
              <w:bottom w:val="single" w:sz="4" w:space="0" w:color="auto"/>
              <w:right w:val="single" w:sz="4" w:space="0" w:color="auto"/>
            </w:tcBorders>
            <w:shd w:val="clear" w:color="auto" w:fill="185980"/>
            <w:noWrap/>
            <w:vAlign w:val="center"/>
            <w:hideMark/>
          </w:tcPr>
          <w:p w14:paraId="2CC51B5E" w14:textId="77777777" w:rsidR="00690701" w:rsidRPr="008D26AB" w:rsidRDefault="00690701">
            <w:pPr>
              <w:pStyle w:val="TableHeading"/>
              <w:jc w:val="left"/>
              <w:rPr>
                <w:lang w:val="en-US" w:eastAsia="ko-KR"/>
              </w:rPr>
            </w:pPr>
            <w:r w:rsidRPr="008D26AB">
              <w:rPr>
                <w:lang w:val="en-US" w:eastAsia="ko-KR"/>
              </w:rPr>
              <w:t>Country</w:t>
            </w:r>
          </w:p>
        </w:tc>
        <w:tc>
          <w:tcPr>
            <w:tcW w:w="1843" w:type="dxa"/>
            <w:tcBorders>
              <w:top w:val="single" w:sz="4" w:space="0" w:color="auto"/>
              <w:left w:val="nil"/>
              <w:bottom w:val="single" w:sz="4" w:space="0" w:color="auto"/>
              <w:right w:val="single" w:sz="4" w:space="0" w:color="auto"/>
            </w:tcBorders>
            <w:shd w:val="clear" w:color="auto" w:fill="185980"/>
            <w:noWrap/>
            <w:vAlign w:val="center"/>
            <w:hideMark/>
          </w:tcPr>
          <w:p w14:paraId="20B7A2E4" w14:textId="77777777" w:rsidR="00690701" w:rsidRPr="00AD7E06" w:rsidRDefault="00690701">
            <w:pPr>
              <w:pStyle w:val="TableHeading"/>
              <w:jc w:val="left"/>
              <w:rPr>
                <w:rFonts w:eastAsia="Malgun Gothic"/>
                <w:lang w:val="en-US" w:eastAsia="ko-KR"/>
              </w:rPr>
            </w:pPr>
            <w:r>
              <w:rPr>
                <w:rFonts w:eastAsia="Malgun Gothic" w:hint="eastAsia"/>
                <w:lang w:val="en-US" w:eastAsia="ko-KR"/>
              </w:rPr>
              <w:t>Date of approval</w:t>
            </w:r>
          </w:p>
        </w:tc>
        <w:tc>
          <w:tcPr>
            <w:tcW w:w="1134" w:type="dxa"/>
            <w:tcBorders>
              <w:top w:val="single" w:sz="4" w:space="0" w:color="auto"/>
              <w:left w:val="nil"/>
              <w:bottom w:val="single" w:sz="4" w:space="0" w:color="auto"/>
              <w:right w:val="single" w:sz="4" w:space="0" w:color="auto"/>
            </w:tcBorders>
            <w:shd w:val="clear" w:color="auto" w:fill="185980"/>
            <w:noWrap/>
            <w:vAlign w:val="center"/>
            <w:hideMark/>
          </w:tcPr>
          <w:p w14:paraId="3FF0D214" w14:textId="77777777" w:rsidR="00690701" w:rsidRPr="008D26AB" w:rsidRDefault="00690701">
            <w:pPr>
              <w:pStyle w:val="TableHeading"/>
              <w:jc w:val="left"/>
              <w:rPr>
                <w:lang w:val="en-US" w:eastAsia="ko-KR"/>
              </w:rPr>
            </w:pPr>
            <w:r>
              <w:rPr>
                <w:rFonts w:eastAsia="Malgun Gothic" w:hint="eastAsia"/>
                <w:lang w:val="en-US" w:eastAsia="ko-KR"/>
              </w:rPr>
              <w:t>IE</w:t>
            </w:r>
          </w:p>
        </w:tc>
        <w:tc>
          <w:tcPr>
            <w:tcW w:w="1984" w:type="dxa"/>
            <w:tcBorders>
              <w:top w:val="single" w:sz="4" w:space="0" w:color="auto"/>
              <w:left w:val="nil"/>
              <w:bottom w:val="single" w:sz="4" w:space="0" w:color="auto"/>
              <w:right w:val="single" w:sz="4" w:space="0" w:color="auto"/>
            </w:tcBorders>
            <w:shd w:val="clear" w:color="auto" w:fill="185980"/>
            <w:noWrap/>
            <w:vAlign w:val="center"/>
            <w:hideMark/>
          </w:tcPr>
          <w:p w14:paraId="14B82D86" w14:textId="77777777" w:rsidR="00690701" w:rsidRPr="008D26AB" w:rsidRDefault="00690701">
            <w:pPr>
              <w:pStyle w:val="TableHeading"/>
              <w:jc w:val="left"/>
              <w:rPr>
                <w:lang w:val="en-US" w:eastAsia="ko-KR"/>
              </w:rPr>
            </w:pPr>
            <w:r w:rsidRPr="008D26AB">
              <w:rPr>
                <w:lang w:val="en-US" w:eastAsia="ko-KR"/>
              </w:rPr>
              <w:t xml:space="preserve">Peer </w:t>
            </w:r>
            <w:r>
              <w:rPr>
                <w:rFonts w:eastAsia="Malgun Gothic" w:hint="eastAsia"/>
                <w:lang w:val="en-US" w:eastAsia="ko-KR"/>
              </w:rPr>
              <w:t>a</w:t>
            </w:r>
            <w:r w:rsidRPr="008D26AB">
              <w:rPr>
                <w:lang w:val="en-US" w:eastAsia="ko-KR"/>
              </w:rPr>
              <w:t>dvisor</w:t>
            </w:r>
          </w:p>
        </w:tc>
        <w:tc>
          <w:tcPr>
            <w:tcW w:w="1701" w:type="dxa"/>
            <w:tcBorders>
              <w:top w:val="single" w:sz="4" w:space="0" w:color="auto"/>
              <w:left w:val="nil"/>
              <w:bottom w:val="single" w:sz="4" w:space="0" w:color="auto"/>
              <w:right w:val="single" w:sz="4" w:space="0" w:color="auto"/>
            </w:tcBorders>
            <w:shd w:val="clear" w:color="auto" w:fill="185980"/>
            <w:noWrap/>
            <w:vAlign w:val="center"/>
            <w:hideMark/>
          </w:tcPr>
          <w:p w14:paraId="78B72280" w14:textId="77777777" w:rsidR="00690701" w:rsidRPr="008D26AB" w:rsidRDefault="00690701">
            <w:pPr>
              <w:pStyle w:val="TableHeading"/>
              <w:jc w:val="left"/>
              <w:rPr>
                <w:lang w:val="en-US" w:eastAsia="ko-KR"/>
              </w:rPr>
            </w:pPr>
            <w:r w:rsidRPr="008D26AB">
              <w:rPr>
                <w:lang w:val="en-US" w:eastAsia="ko-KR"/>
              </w:rPr>
              <w:t>Partner</w:t>
            </w:r>
            <w:r>
              <w:rPr>
                <w:lang w:val="en-US" w:eastAsia="ko-KR"/>
              </w:rPr>
              <w:br/>
              <w:t>P</w:t>
            </w:r>
            <w:r w:rsidRPr="008D26AB">
              <w:rPr>
                <w:lang w:val="en-US" w:eastAsia="ko-KR"/>
              </w:rPr>
              <w:t xml:space="preserve">eer </w:t>
            </w:r>
            <w:r>
              <w:rPr>
                <w:rFonts w:eastAsia="Malgun Gothic" w:hint="eastAsia"/>
                <w:lang w:val="en-US" w:eastAsia="ko-KR"/>
              </w:rPr>
              <w:t>a</w:t>
            </w:r>
            <w:r w:rsidRPr="008D26AB">
              <w:rPr>
                <w:lang w:val="en-US" w:eastAsia="ko-KR"/>
              </w:rPr>
              <w:t>dvisor</w:t>
            </w:r>
          </w:p>
        </w:tc>
        <w:tc>
          <w:tcPr>
            <w:tcW w:w="2268" w:type="dxa"/>
            <w:tcBorders>
              <w:top w:val="single" w:sz="4" w:space="0" w:color="auto"/>
              <w:left w:val="nil"/>
              <w:bottom w:val="single" w:sz="4" w:space="0" w:color="auto"/>
              <w:right w:val="single" w:sz="4" w:space="0" w:color="auto"/>
            </w:tcBorders>
            <w:shd w:val="clear" w:color="auto" w:fill="185980"/>
            <w:noWrap/>
            <w:vAlign w:val="center"/>
            <w:hideMark/>
          </w:tcPr>
          <w:p w14:paraId="24B38AE1" w14:textId="77777777" w:rsidR="00690701" w:rsidRPr="008D26AB" w:rsidRDefault="00690701">
            <w:pPr>
              <w:pStyle w:val="TableHeading"/>
              <w:jc w:val="left"/>
              <w:rPr>
                <w:lang w:val="en-US" w:eastAsia="ko-KR"/>
              </w:rPr>
            </w:pPr>
            <w:r w:rsidRPr="008D26AB">
              <w:rPr>
                <w:lang w:val="en-US" w:eastAsia="ko-KR"/>
              </w:rPr>
              <w:t>Amount approved</w:t>
            </w:r>
            <w:r>
              <w:rPr>
                <w:lang w:val="en-US" w:eastAsia="ko-KR"/>
              </w:rPr>
              <w:br/>
            </w:r>
            <w:r w:rsidRPr="008D26AB">
              <w:rPr>
                <w:rFonts w:eastAsia="Malgun Gothic" w:hint="eastAsia"/>
                <w:lang w:val="en-US" w:eastAsia="ko-KR"/>
              </w:rPr>
              <w:t>(in USD)</w:t>
            </w:r>
          </w:p>
        </w:tc>
        <w:tc>
          <w:tcPr>
            <w:tcW w:w="2268" w:type="dxa"/>
            <w:tcBorders>
              <w:top w:val="single" w:sz="4" w:space="0" w:color="auto"/>
              <w:left w:val="nil"/>
              <w:bottom w:val="single" w:sz="4" w:space="0" w:color="auto"/>
              <w:right w:val="single" w:sz="4" w:space="0" w:color="auto"/>
            </w:tcBorders>
            <w:shd w:val="clear" w:color="auto" w:fill="185980"/>
            <w:noWrap/>
            <w:vAlign w:val="center"/>
            <w:hideMark/>
          </w:tcPr>
          <w:p w14:paraId="16E38F51" w14:textId="77777777" w:rsidR="00690701" w:rsidRPr="008D26AB" w:rsidRDefault="00690701">
            <w:pPr>
              <w:pStyle w:val="TableHeading"/>
              <w:jc w:val="left"/>
              <w:rPr>
                <w:lang w:val="en-US" w:eastAsia="ko-KR"/>
              </w:rPr>
            </w:pPr>
            <w:r w:rsidRPr="008D26AB">
              <w:rPr>
                <w:lang w:val="en-US" w:eastAsia="ko-KR"/>
              </w:rPr>
              <w:t xml:space="preserve">Amount </w:t>
            </w:r>
            <w:r>
              <w:rPr>
                <w:lang w:val="en-US" w:eastAsia="ko-KR"/>
              </w:rPr>
              <w:t>transferred</w:t>
            </w:r>
            <w:r>
              <w:rPr>
                <w:lang w:val="en-US" w:eastAsia="ko-KR"/>
              </w:rPr>
              <w:br/>
            </w:r>
            <w:r w:rsidRPr="008D26AB">
              <w:rPr>
                <w:rFonts w:eastAsia="Malgun Gothic" w:hint="eastAsia"/>
                <w:lang w:val="en-US" w:eastAsia="ko-KR"/>
              </w:rPr>
              <w:t>(in USD)</w:t>
            </w:r>
          </w:p>
        </w:tc>
        <w:tc>
          <w:tcPr>
            <w:tcW w:w="2835" w:type="dxa"/>
            <w:tcBorders>
              <w:top w:val="single" w:sz="4" w:space="0" w:color="auto"/>
              <w:left w:val="nil"/>
              <w:bottom w:val="single" w:sz="4" w:space="0" w:color="auto"/>
              <w:right w:val="single" w:sz="4" w:space="0" w:color="auto"/>
            </w:tcBorders>
            <w:shd w:val="clear" w:color="auto" w:fill="185980"/>
            <w:noWrap/>
            <w:vAlign w:val="center"/>
            <w:hideMark/>
          </w:tcPr>
          <w:p w14:paraId="32FDC508" w14:textId="77777777" w:rsidR="00690701" w:rsidRPr="008D26AB" w:rsidRDefault="00690701">
            <w:pPr>
              <w:pStyle w:val="TableHeading"/>
              <w:jc w:val="left"/>
              <w:rPr>
                <w:lang w:val="en-US" w:eastAsia="ko-KR"/>
              </w:rPr>
            </w:pPr>
            <w:r w:rsidRPr="008D26AB">
              <w:rPr>
                <w:lang w:val="en-US" w:eastAsia="ko-KR"/>
              </w:rPr>
              <w:t>Status</w:t>
            </w:r>
          </w:p>
        </w:tc>
      </w:tr>
      <w:tr w:rsidR="00690701" w:rsidRPr="008D26AB" w14:paraId="5F9DA3AB"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639FBB5A" w14:textId="77777777" w:rsidR="00690701" w:rsidRPr="00D51140" w:rsidRDefault="00690701">
            <w:pPr>
              <w:pStyle w:val="TableText"/>
              <w:rPr>
                <w:b/>
                <w:bCs/>
                <w:lang w:val="en-US" w:eastAsia="ko-KR"/>
              </w:rPr>
            </w:pPr>
            <w:r w:rsidRPr="00D51140">
              <w:rPr>
                <w:b/>
                <w:bCs/>
                <w:lang w:val="en-US" w:eastAsia="ko-KR"/>
              </w:rPr>
              <w:t>Belize</w:t>
            </w:r>
          </w:p>
        </w:tc>
        <w:tc>
          <w:tcPr>
            <w:tcW w:w="1843" w:type="dxa"/>
            <w:tcBorders>
              <w:top w:val="nil"/>
              <w:left w:val="nil"/>
              <w:bottom w:val="single" w:sz="4" w:space="0" w:color="auto"/>
              <w:right w:val="single" w:sz="4" w:space="0" w:color="auto"/>
            </w:tcBorders>
            <w:noWrap/>
            <w:hideMark/>
          </w:tcPr>
          <w:p w14:paraId="01E347F0" w14:textId="77777777" w:rsidR="00690701" w:rsidRPr="008D26AB" w:rsidRDefault="00690701">
            <w:pPr>
              <w:pStyle w:val="TableText"/>
              <w:rPr>
                <w:lang w:val="en-US" w:eastAsia="ko-KR"/>
              </w:rPr>
            </w:pPr>
            <w:r w:rsidRPr="008D26AB">
              <w:rPr>
                <w:lang w:val="en-US" w:eastAsia="ko-KR"/>
              </w:rPr>
              <w:t>Nov 2023</w:t>
            </w:r>
          </w:p>
        </w:tc>
        <w:tc>
          <w:tcPr>
            <w:tcW w:w="1134" w:type="dxa"/>
            <w:tcBorders>
              <w:top w:val="nil"/>
              <w:left w:val="nil"/>
              <w:bottom w:val="single" w:sz="4" w:space="0" w:color="auto"/>
              <w:right w:val="single" w:sz="4" w:space="0" w:color="auto"/>
            </w:tcBorders>
            <w:noWrap/>
            <w:hideMark/>
          </w:tcPr>
          <w:p w14:paraId="074B664F" w14:textId="77777777" w:rsidR="00690701" w:rsidRPr="008D26AB" w:rsidRDefault="00690701">
            <w:pPr>
              <w:pStyle w:val="TableText"/>
              <w:rPr>
                <w:lang w:val="en-US" w:eastAsia="ko-KR"/>
              </w:rPr>
            </w:pPr>
            <w:r w:rsidRPr="008D26AB">
              <w:rPr>
                <w:lang w:val="en-US" w:eastAsia="ko-KR"/>
              </w:rPr>
              <w:t>IADB</w:t>
            </w:r>
          </w:p>
        </w:tc>
        <w:tc>
          <w:tcPr>
            <w:tcW w:w="1984" w:type="dxa"/>
            <w:tcBorders>
              <w:top w:val="nil"/>
              <w:left w:val="nil"/>
              <w:bottom w:val="single" w:sz="4" w:space="0" w:color="auto"/>
              <w:right w:val="single" w:sz="4" w:space="0" w:color="auto"/>
            </w:tcBorders>
            <w:noWrap/>
            <w:hideMark/>
          </w:tcPr>
          <w:p w14:paraId="72A086F1" w14:textId="77777777" w:rsidR="00690701" w:rsidRPr="008D26AB" w:rsidRDefault="00690701">
            <w:pPr>
              <w:pStyle w:val="TableText"/>
              <w:rPr>
                <w:lang w:val="en-US" w:eastAsia="ko-KR"/>
              </w:rPr>
            </w:pPr>
            <w:r w:rsidRPr="008D26AB">
              <w:rPr>
                <w:lang w:val="en-US" w:eastAsia="ko-KR"/>
              </w:rPr>
              <w:t>United Kingdom</w:t>
            </w:r>
          </w:p>
        </w:tc>
        <w:tc>
          <w:tcPr>
            <w:tcW w:w="1701" w:type="dxa"/>
            <w:tcBorders>
              <w:top w:val="nil"/>
              <w:left w:val="nil"/>
              <w:bottom w:val="single" w:sz="4" w:space="0" w:color="auto"/>
              <w:right w:val="single" w:sz="4" w:space="0" w:color="auto"/>
            </w:tcBorders>
            <w:noWrap/>
            <w:hideMark/>
          </w:tcPr>
          <w:p w14:paraId="1365BCC3"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41073AB7" w14:textId="77777777" w:rsidR="00690701" w:rsidRPr="008D26AB" w:rsidRDefault="00690701">
            <w:pPr>
              <w:pStyle w:val="TableText"/>
              <w:jc w:val="right"/>
              <w:rPr>
                <w:lang w:val="en-US" w:eastAsia="ko-KR"/>
              </w:rPr>
            </w:pPr>
            <w:r w:rsidRPr="008D26AB">
              <w:rPr>
                <w:lang w:val="en-US" w:eastAsia="ko-KR"/>
              </w:rPr>
              <w:t xml:space="preserve">864,543 </w:t>
            </w:r>
          </w:p>
        </w:tc>
        <w:tc>
          <w:tcPr>
            <w:tcW w:w="2268" w:type="dxa"/>
            <w:tcBorders>
              <w:top w:val="nil"/>
              <w:left w:val="nil"/>
              <w:bottom w:val="single" w:sz="4" w:space="0" w:color="auto"/>
              <w:right w:val="single" w:sz="4" w:space="0" w:color="auto"/>
            </w:tcBorders>
            <w:noWrap/>
            <w:hideMark/>
          </w:tcPr>
          <w:p w14:paraId="4D6448F5" w14:textId="77777777" w:rsidR="00690701" w:rsidRPr="008D26AB" w:rsidRDefault="00690701">
            <w:pPr>
              <w:pStyle w:val="TableText"/>
              <w:jc w:val="right"/>
              <w:rPr>
                <w:lang w:val="en-US" w:eastAsia="ko-KR"/>
              </w:rPr>
            </w:pPr>
            <w:r w:rsidRPr="005045F5">
              <w:rPr>
                <w:lang w:val="en-US" w:eastAsia="ko-KR"/>
              </w:rPr>
              <w:t>503,035</w:t>
            </w:r>
            <w:r w:rsidRPr="008D26AB">
              <w:rPr>
                <w:lang w:val="en-US" w:eastAsia="ko-KR"/>
              </w:rPr>
              <w:t> </w:t>
            </w:r>
          </w:p>
        </w:tc>
        <w:tc>
          <w:tcPr>
            <w:tcW w:w="2835" w:type="dxa"/>
            <w:tcBorders>
              <w:top w:val="nil"/>
              <w:left w:val="nil"/>
              <w:bottom w:val="single" w:sz="4" w:space="0" w:color="auto"/>
              <w:right w:val="single" w:sz="4" w:space="0" w:color="auto"/>
            </w:tcBorders>
            <w:noWrap/>
            <w:hideMark/>
          </w:tcPr>
          <w:p w14:paraId="1B4FCDFA" w14:textId="77777777" w:rsidR="00690701" w:rsidRPr="008D26AB" w:rsidRDefault="00690701">
            <w:pPr>
              <w:pStyle w:val="TableText"/>
              <w:rPr>
                <w:rFonts w:eastAsia="Malgun Gothic"/>
                <w:lang w:val="en-US" w:eastAsia="ko-KR"/>
              </w:rPr>
            </w:pPr>
            <w:r>
              <w:rPr>
                <w:lang w:val="en-US" w:eastAsia="ko-KR"/>
              </w:rPr>
              <w:t>Under implementation</w:t>
            </w:r>
          </w:p>
        </w:tc>
      </w:tr>
      <w:tr w:rsidR="00690701" w:rsidRPr="008D26AB" w14:paraId="16E77F5E"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3D9CCBA3" w14:textId="77777777" w:rsidR="00690701" w:rsidRPr="00D51140" w:rsidRDefault="00690701">
            <w:pPr>
              <w:pStyle w:val="TableText"/>
              <w:rPr>
                <w:b/>
                <w:bCs/>
                <w:lang w:val="en-US" w:eastAsia="ko-KR"/>
              </w:rPr>
            </w:pPr>
            <w:r w:rsidRPr="00D51140">
              <w:rPr>
                <w:b/>
                <w:bCs/>
                <w:lang w:val="en-US" w:eastAsia="ko-KR"/>
              </w:rPr>
              <w:t>Bhutan</w:t>
            </w:r>
          </w:p>
        </w:tc>
        <w:tc>
          <w:tcPr>
            <w:tcW w:w="1843" w:type="dxa"/>
            <w:tcBorders>
              <w:top w:val="nil"/>
              <w:left w:val="nil"/>
              <w:bottom w:val="single" w:sz="4" w:space="0" w:color="auto"/>
              <w:right w:val="single" w:sz="4" w:space="0" w:color="auto"/>
            </w:tcBorders>
            <w:noWrap/>
            <w:hideMark/>
          </w:tcPr>
          <w:p w14:paraId="433CF100" w14:textId="77777777" w:rsidR="00690701" w:rsidRPr="008D26AB" w:rsidRDefault="00690701">
            <w:pPr>
              <w:pStyle w:val="TableText"/>
              <w:rPr>
                <w:lang w:val="en-US" w:eastAsia="ko-KR"/>
              </w:rPr>
            </w:pPr>
            <w:r w:rsidRPr="008D26AB">
              <w:rPr>
                <w:lang w:val="en-US" w:eastAsia="ko-KR"/>
              </w:rPr>
              <w:t>Mar 2024</w:t>
            </w:r>
          </w:p>
        </w:tc>
        <w:tc>
          <w:tcPr>
            <w:tcW w:w="1134" w:type="dxa"/>
            <w:tcBorders>
              <w:top w:val="nil"/>
              <w:left w:val="nil"/>
              <w:bottom w:val="single" w:sz="4" w:space="0" w:color="auto"/>
              <w:right w:val="single" w:sz="4" w:space="0" w:color="auto"/>
            </w:tcBorders>
            <w:noWrap/>
            <w:hideMark/>
          </w:tcPr>
          <w:p w14:paraId="13F65D1A" w14:textId="77777777" w:rsidR="00690701" w:rsidRPr="008D26AB" w:rsidRDefault="00690701">
            <w:pPr>
              <w:pStyle w:val="TableText"/>
              <w:rPr>
                <w:lang w:val="en-US" w:eastAsia="ko-KR"/>
              </w:rPr>
            </w:pPr>
            <w:r w:rsidRPr="008D26AB">
              <w:rPr>
                <w:lang w:val="en-US" w:eastAsia="ko-KR"/>
              </w:rPr>
              <w:t>UNEP</w:t>
            </w:r>
          </w:p>
        </w:tc>
        <w:tc>
          <w:tcPr>
            <w:tcW w:w="1984" w:type="dxa"/>
            <w:tcBorders>
              <w:top w:val="nil"/>
              <w:left w:val="nil"/>
              <w:bottom w:val="single" w:sz="4" w:space="0" w:color="auto"/>
              <w:right w:val="single" w:sz="4" w:space="0" w:color="auto"/>
            </w:tcBorders>
            <w:noWrap/>
            <w:hideMark/>
          </w:tcPr>
          <w:p w14:paraId="6D5E6896" w14:textId="77777777" w:rsidR="00690701" w:rsidRPr="008D26AB" w:rsidRDefault="00690701">
            <w:pPr>
              <w:pStyle w:val="TableText"/>
              <w:rPr>
                <w:lang w:val="en-US" w:eastAsia="ko-KR"/>
              </w:rPr>
            </w:pPr>
            <w:r w:rsidRPr="008D26AB">
              <w:rPr>
                <w:lang w:val="en-US" w:eastAsia="ko-KR"/>
              </w:rPr>
              <w:t>Finland</w:t>
            </w:r>
          </w:p>
        </w:tc>
        <w:tc>
          <w:tcPr>
            <w:tcW w:w="1701" w:type="dxa"/>
            <w:tcBorders>
              <w:top w:val="nil"/>
              <w:left w:val="nil"/>
              <w:bottom w:val="single" w:sz="4" w:space="0" w:color="auto"/>
              <w:right w:val="single" w:sz="4" w:space="0" w:color="auto"/>
            </w:tcBorders>
            <w:noWrap/>
            <w:hideMark/>
          </w:tcPr>
          <w:p w14:paraId="59DF40E5"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64C97B83" w14:textId="77777777" w:rsidR="00690701" w:rsidRPr="008D26AB" w:rsidRDefault="00690701">
            <w:pPr>
              <w:pStyle w:val="TableText"/>
              <w:jc w:val="right"/>
              <w:rPr>
                <w:lang w:val="en-US" w:eastAsia="ko-KR"/>
              </w:rPr>
            </w:pPr>
            <w:r w:rsidRPr="008D26AB">
              <w:rPr>
                <w:lang w:val="en-US" w:eastAsia="ko-KR"/>
              </w:rPr>
              <w:t xml:space="preserve">4,624,024 </w:t>
            </w:r>
          </w:p>
        </w:tc>
        <w:tc>
          <w:tcPr>
            <w:tcW w:w="2268" w:type="dxa"/>
            <w:tcBorders>
              <w:top w:val="nil"/>
              <w:left w:val="nil"/>
              <w:bottom w:val="single" w:sz="4" w:space="0" w:color="auto"/>
              <w:right w:val="single" w:sz="4" w:space="0" w:color="auto"/>
            </w:tcBorders>
            <w:noWrap/>
            <w:hideMark/>
          </w:tcPr>
          <w:p w14:paraId="20944721" w14:textId="77777777" w:rsidR="00690701" w:rsidRPr="008D26AB" w:rsidRDefault="00690701">
            <w:pPr>
              <w:pStyle w:val="TableText"/>
              <w:jc w:val="right"/>
              <w:rPr>
                <w:lang w:val="en-US" w:eastAsia="ko-KR"/>
              </w:rPr>
            </w:pPr>
            <w:r w:rsidRPr="008D26AB">
              <w:rPr>
                <w:lang w:val="en-US" w:eastAsia="ko-KR"/>
              </w:rPr>
              <w:t xml:space="preserve">3,514,453 </w:t>
            </w:r>
          </w:p>
        </w:tc>
        <w:tc>
          <w:tcPr>
            <w:tcW w:w="2835" w:type="dxa"/>
            <w:tcBorders>
              <w:top w:val="nil"/>
              <w:left w:val="nil"/>
              <w:bottom w:val="single" w:sz="4" w:space="0" w:color="auto"/>
              <w:right w:val="single" w:sz="4" w:space="0" w:color="auto"/>
            </w:tcBorders>
            <w:noWrap/>
            <w:hideMark/>
          </w:tcPr>
          <w:p w14:paraId="73797E19"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355F87A2"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4A0DFD68" w14:textId="77777777" w:rsidR="00690701" w:rsidRPr="00D51140" w:rsidRDefault="00690701">
            <w:pPr>
              <w:pStyle w:val="TableText"/>
              <w:rPr>
                <w:b/>
                <w:bCs/>
                <w:lang w:val="en-US" w:eastAsia="ko-KR"/>
              </w:rPr>
            </w:pPr>
            <w:r w:rsidRPr="00D51140">
              <w:rPr>
                <w:b/>
                <w:bCs/>
                <w:lang w:val="en-US" w:eastAsia="ko-KR"/>
              </w:rPr>
              <w:t>Cabo Verde</w:t>
            </w:r>
          </w:p>
        </w:tc>
        <w:tc>
          <w:tcPr>
            <w:tcW w:w="1843" w:type="dxa"/>
            <w:tcBorders>
              <w:top w:val="nil"/>
              <w:left w:val="nil"/>
              <w:bottom w:val="single" w:sz="4" w:space="0" w:color="auto"/>
              <w:right w:val="single" w:sz="4" w:space="0" w:color="auto"/>
            </w:tcBorders>
            <w:noWrap/>
            <w:hideMark/>
          </w:tcPr>
          <w:p w14:paraId="15BF6AD5" w14:textId="77777777" w:rsidR="00690701" w:rsidRPr="008D26AB" w:rsidRDefault="00690701">
            <w:pPr>
              <w:pStyle w:val="TableText"/>
              <w:rPr>
                <w:lang w:val="en-US" w:eastAsia="ko-KR"/>
              </w:rPr>
            </w:pPr>
            <w:r w:rsidRPr="008D26AB">
              <w:rPr>
                <w:lang w:val="en-US" w:eastAsia="ko-KR"/>
              </w:rPr>
              <w:t>Mar 2024</w:t>
            </w:r>
          </w:p>
        </w:tc>
        <w:tc>
          <w:tcPr>
            <w:tcW w:w="1134" w:type="dxa"/>
            <w:tcBorders>
              <w:top w:val="nil"/>
              <w:left w:val="nil"/>
              <w:bottom w:val="single" w:sz="4" w:space="0" w:color="auto"/>
              <w:right w:val="single" w:sz="4" w:space="0" w:color="auto"/>
            </w:tcBorders>
            <w:noWrap/>
            <w:hideMark/>
          </w:tcPr>
          <w:p w14:paraId="6B721E01" w14:textId="77777777" w:rsidR="00690701" w:rsidRPr="008D26AB" w:rsidRDefault="00690701">
            <w:pPr>
              <w:pStyle w:val="TableText"/>
              <w:rPr>
                <w:lang w:val="en-US" w:eastAsia="ko-KR"/>
              </w:rPr>
            </w:pPr>
            <w:r w:rsidRPr="008D26AB">
              <w:rPr>
                <w:lang w:val="en-US" w:eastAsia="ko-KR"/>
              </w:rPr>
              <w:t>UNEP</w:t>
            </w:r>
          </w:p>
        </w:tc>
        <w:tc>
          <w:tcPr>
            <w:tcW w:w="1984" w:type="dxa"/>
            <w:tcBorders>
              <w:top w:val="nil"/>
              <w:left w:val="nil"/>
              <w:bottom w:val="single" w:sz="4" w:space="0" w:color="auto"/>
              <w:right w:val="single" w:sz="4" w:space="0" w:color="auto"/>
            </w:tcBorders>
            <w:noWrap/>
            <w:hideMark/>
          </w:tcPr>
          <w:p w14:paraId="13F60826" w14:textId="77777777" w:rsidR="00690701" w:rsidRPr="008D26AB" w:rsidRDefault="00690701">
            <w:pPr>
              <w:pStyle w:val="TableText"/>
              <w:rPr>
                <w:lang w:val="en-US" w:eastAsia="ko-KR"/>
              </w:rPr>
            </w:pPr>
            <w:r w:rsidRPr="008D26AB">
              <w:rPr>
                <w:lang w:val="en-US" w:eastAsia="ko-KR"/>
              </w:rPr>
              <w:t>Netherlands</w:t>
            </w:r>
          </w:p>
        </w:tc>
        <w:tc>
          <w:tcPr>
            <w:tcW w:w="1701" w:type="dxa"/>
            <w:tcBorders>
              <w:top w:val="nil"/>
              <w:left w:val="nil"/>
              <w:bottom w:val="single" w:sz="4" w:space="0" w:color="auto"/>
              <w:right w:val="single" w:sz="4" w:space="0" w:color="auto"/>
            </w:tcBorders>
            <w:noWrap/>
            <w:hideMark/>
          </w:tcPr>
          <w:p w14:paraId="60A34FFA"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7440102B" w14:textId="77777777" w:rsidR="00690701" w:rsidRPr="008D26AB" w:rsidRDefault="00690701">
            <w:pPr>
              <w:pStyle w:val="TableText"/>
              <w:jc w:val="right"/>
              <w:rPr>
                <w:lang w:val="en-US" w:eastAsia="ko-KR"/>
              </w:rPr>
            </w:pPr>
            <w:r w:rsidRPr="008D26AB">
              <w:rPr>
                <w:lang w:val="en-US" w:eastAsia="ko-KR"/>
              </w:rPr>
              <w:t xml:space="preserve">3,879,118 </w:t>
            </w:r>
          </w:p>
        </w:tc>
        <w:tc>
          <w:tcPr>
            <w:tcW w:w="2268" w:type="dxa"/>
            <w:tcBorders>
              <w:top w:val="nil"/>
              <w:left w:val="nil"/>
              <w:bottom w:val="single" w:sz="4" w:space="0" w:color="auto"/>
              <w:right w:val="single" w:sz="4" w:space="0" w:color="auto"/>
            </w:tcBorders>
            <w:noWrap/>
            <w:hideMark/>
          </w:tcPr>
          <w:p w14:paraId="58B94678" w14:textId="77777777" w:rsidR="00690701" w:rsidRPr="008D26AB" w:rsidRDefault="00690701">
            <w:pPr>
              <w:pStyle w:val="TableText"/>
              <w:jc w:val="right"/>
              <w:rPr>
                <w:lang w:val="en-US" w:eastAsia="ko-KR"/>
              </w:rPr>
            </w:pPr>
            <w:r w:rsidRPr="008D26AB">
              <w:rPr>
                <w:lang w:val="en-US" w:eastAsia="ko-KR"/>
              </w:rPr>
              <w:t xml:space="preserve">2,883,272 </w:t>
            </w:r>
          </w:p>
        </w:tc>
        <w:tc>
          <w:tcPr>
            <w:tcW w:w="2835" w:type="dxa"/>
            <w:tcBorders>
              <w:top w:val="nil"/>
              <w:left w:val="nil"/>
              <w:bottom w:val="single" w:sz="4" w:space="0" w:color="auto"/>
              <w:right w:val="single" w:sz="4" w:space="0" w:color="auto"/>
            </w:tcBorders>
            <w:noWrap/>
            <w:hideMark/>
          </w:tcPr>
          <w:p w14:paraId="56D14561"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79995A85"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2CE3332F" w14:textId="77777777" w:rsidR="00690701" w:rsidRPr="00D51140" w:rsidRDefault="00690701">
            <w:pPr>
              <w:pStyle w:val="TableText"/>
              <w:rPr>
                <w:b/>
                <w:bCs/>
                <w:lang w:val="en-US" w:eastAsia="ko-KR"/>
              </w:rPr>
            </w:pPr>
            <w:r w:rsidRPr="00D51140">
              <w:rPr>
                <w:b/>
                <w:bCs/>
                <w:lang w:val="en-US" w:eastAsia="ko-KR"/>
              </w:rPr>
              <w:t>Chad</w:t>
            </w:r>
          </w:p>
        </w:tc>
        <w:tc>
          <w:tcPr>
            <w:tcW w:w="1843" w:type="dxa"/>
            <w:tcBorders>
              <w:top w:val="nil"/>
              <w:left w:val="nil"/>
              <w:bottom w:val="single" w:sz="4" w:space="0" w:color="auto"/>
              <w:right w:val="single" w:sz="4" w:space="0" w:color="auto"/>
            </w:tcBorders>
            <w:noWrap/>
            <w:hideMark/>
          </w:tcPr>
          <w:p w14:paraId="232F6A0B" w14:textId="77777777" w:rsidR="00690701" w:rsidRPr="008D26AB" w:rsidRDefault="00690701">
            <w:pPr>
              <w:pStyle w:val="TableText"/>
              <w:rPr>
                <w:lang w:val="en-US" w:eastAsia="ko-KR"/>
              </w:rPr>
            </w:pPr>
            <w:r w:rsidRPr="008D26AB">
              <w:rPr>
                <w:lang w:val="en-US" w:eastAsia="ko-KR"/>
              </w:rPr>
              <w:t>Jun 2024</w:t>
            </w:r>
          </w:p>
        </w:tc>
        <w:tc>
          <w:tcPr>
            <w:tcW w:w="1134" w:type="dxa"/>
            <w:tcBorders>
              <w:top w:val="nil"/>
              <w:left w:val="nil"/>
              <w:bottom w:val="single" w:sz="4" w:space="0" w:color="auto"/>
              <w:right w:val="single" w:sz="4" w:space="0" w:color="auto"/>
            </w:tcBorders>
            <w:noWrap/>
            <w:hideMark/>
          </w:tcPr>
          <w:p w14:paraId="6D03E4E9" w14:textId="77777777" w:rsidR="00690701" w:rsidRPr="008D26AB" w:rsidRDefault="00690701">
            <w:pPr>
              <w:pStyle w:val="TableText"/>
              <w:rPr>
                <w:lang w:val="en-US" w:eastAsia="ko-KR"/>
              </w:rPr>
            </w:pPr>
            <w:r w:rsidRPr="008D26AB">
              <w:rPr>
                <w:lang w:val="en-US" w:eastAsia="ko-KR"/>
              </w:rPr>
              <w:t>WFP</w:t>
            </w:r>
          </w:p>
        </w:tc>
        <w:tc>
          <w:tcPr>
            <w:tcW w:w="1984" w:type="dxa"/>
            <w:tcBorders>
              <w:top w:val="nil"/>
              <w:left w:val="nil"/>
              <w:bottom w:val="single" w:sz="4" w:space="0" w:color="auto"/>
              <w:right w:val="single" w:sz="4" w:space="0" w:color="auto"/>
            </w:tcBorders>
            <w:noWrap/>
            <w:hideMark/>
          </w:tcPr>
          <w:p w14:paraId="4971B255" w14:textId="77777777" w:rsidR="00690701" w:rsidRPr="008D26AB" w:rsidRDefault="00690701">
            <w:pPr>
              <w:pStyle w:val="TableText"/>
              <w:rPr>
                <w:lang w:val="en-US" w:eastAsia="ko-KR"/>
              </w:rPr>
            </w:pPr>
            <w:r w:rsidRPr="008D26AB">
              <w:rPr>
                <w:lang w:val="en-US" w:eastAsia="ko-KR"/>
              </w:rPr>
              <w:t>Austria</w:t>
            </w:r>
          </w:p>
        </w:tc>
        <w:tc>
          <w:tcPr>
            <w:tcW w:w="1701" w:type="dxa"/>
            <w:tcBorders>
              <w:top w:val="nil"/>
              <w:left w:val="nil"/>
              <w:bottom w:val="single" w:sz="4" w:space="0" w:color="auto"/>
              <w:right w:val="single" w:sz="4" w:space="0" w:color="auto"/>
            </w:tcBorders>
            <w:noWrap/>
            <w:hideMark/>
          </w:tcPr>
          <w:p w14:paraId="29D3521A"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2B018683" w14:textId="77777777" w:rsidR="00690701" w:rsidRPr="008D26AB" w:rsidRDefault="00690701">
            <w:pPr>
              <w:pStyle w:val="TableText"/>
              <w:jc w:val="right"/>
              <w:rPr>
                <w:lang w:val="en-US" w:eastAsia="ko-KR"/>
              </w:rPr>
            </w:pPr>
            <w:r w:rsidRPr="008D26AB">
              <w:rPr>
                <w:lang w:val="en-US" w:eastAsia="ko-KR"/>
              </w:rPr>
              <w:t xml:space="preserve">6,980,083 </w:t>
            </w:r>
          </w:p>
        </w:tc>
        <w:tc>
          <w:tcPr>
            <w:tcW w:w="2268" w:type="dxa"/>
            <w:tcBorders>
              <w:top w:val="nil"/>
              <w:left w:val="nil"/>
              <w:bottom w:val="single" w:sz="4" w:space="0" w:color="auto"/>
              <w:right w:val="single" w:sz="4" w:space="0" w:color="auto"/>
            </w:tcBorders>
            <w:noWrap/>
            <w:hideMark/>
          </w:tcPr>
          <w:p w14:paraId="74922BF9" w14:textId="77777777" w:rsidR="00690701" w:rsidRPr="008D26AB" w:rsidRDefault="00690701">
            <w:pPr>
              <w:pStyle w:val="TableText"/>
              <w:jc w:val="right"/>
              <w:rPr>
                <w:lang w:val="en-US" w:eastAsia="ko-KR"/>
              </w:rPr>
            </w:pPr>
            <w:r w:rsidRPr="00CE71B8">
              <w:rPr>
                <w:lang w:val="en-US" w:eastAsia="ko-KR"/>
              </w:rPr>
              <w:t>4,689,874</w:t>
            </w:r>
            <w:r w:rsidRPr="008D26AB">
              <w:rPr>
                <w:lang w:val="en-US" w:eastAsia="ko-KR"/>
              </w:rPr>
              <w:t> </w:t>
            </w:r>
          </w:p>
        </w:tc>
        <w:tc>
          <w:tcPr>
            <w:tcW w:w="2835" w:type="dxa"/>
            <w:tcBorders>
              <w:top w:val="nil"/>
              <w:left w:val="nil"/>
              <w:bottom w:val="single" w:sz="4" w:space="0" w:color="auto"/>
              <w:right w:val="single" w:sz="4" w:space="0" w:color="auto"/>
            </w:tcBorders>
            <w:noWrap/>
            <w:hideMark/>
          </w:tcPr>
          <w:p w14:paraId="26ADEE3D" w14:textId="77777777" w:rsidR="00690701" w:rsidRPr="008D26AB" w:rsidRDefault="00690701">
            <w:pPr>
              <w:pStyle w:val="TableText"/>
              <w:rPr>
                <w:lang w:val="en-US" w:eastAsia="ko-KR"/>
              </w:rPr>
            </w:pPr>
            <w:r>
              <w:rPr>
                <w:rFonts w:eastAsia="Malgun Gothic"/>
                <w:lang w:val="en-US" w:eastAsia="ko-KR"/>
              </w:rPr>
              <w:t>Under implementation</w:t>
            </w:r>
          </w:p>
        </w:tc>
      </w:tr>
      <w:tr w:rsidR="00690701" w:rsidRPr="008D26AB" w14:paraId="1D1FC0E3"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0B32A1A5" w14:textId="77777777" w:rsidR="00690701" w:rsidRPr="00D51140" w:rsidRDefault="00690701">
            <w:pPr>
              <w:pStyle w:val="TableText"/>
              <w:rPr>
                <w:b/>
                <w:bCs/>
                <w:lang w:val="en-US" w:eastAsia="ko-KR"/>
              </w:rPr>
            </w:pPr>
            <w:r w:rsidRPr="00D51140">
              <w:rPr>
                <w:b/>
                <w:bCs/>
                <w:lang w:val="en-US" w:eastAsia="ko-KR"/>
              </w:rPr>
              <w:t>Ethiopia</w:t>
            </w:r>
          </w:p>
        </w:tc>
        <w:tc>
          <w:tcPr>
            <w:tcW w:w="1843" w:type="dxa"/>
            <w:tcBorders>
              <w:top w:val="nil"/>
              <w:left w:val="nil"/>
              <w:bottom w:val="single" w:sz="4" w:space="0" w:color="auto"/>
              <w:right w:val="single" w:sz="4" w:space="0" w:color="auto"/>
            </w:tcBorders>
            <w:noWrap/>
            <w:hideMark/>
          </w:tcPr>
          <w:p w14:paraId="306FFE33" w14:textId="77777777" w:rsidR="00690701" w:rsidRPr="008D26AB" w:rsidRDefault="00690701">
            <w:pPr>
              <w:pStyle w:val="TableText"/>
              <w:rPr>
                <w:lang w:val="en-US" w:eastAsia="ko-KR"/>
              </w:rPr>
            </w:pPr>
            <w:r w:rsidRPr="008D26AB">
              <w:rPr>
                <w:lang w:val="en-US" w:eastAsia="ko-KR"/>
              </w:rPr>
              <w:t>Mar 2024</w:t>
            </w:r>
          </w:p>
        </w:tc>
        <w:tc>
          <w:tcPr>
            <w:tcW w:w="1134" w:type="dxa"/>
            <w:tcBorders>
              <w:top w:val="nil"/>
              <w:left w:val="nil"/>
              <w:bottom w:val="single" w:sz="4" w:space="0" w:color="auto"/>
              <w:right w:val="single" w:sz="4" w:space="0" w:color="auto"/>
            </w:tcBorders>
            <w:noWrap/>
            <w:hideMark/>
          </w:tcPr>
          <w:p w14:paraId="5377BA66" w14:textId="77777777" w:rsidR="00690701" w:rsidRPr="008D26AB" w:rsidRDefault="00690701">
            <w:pPr>
              <w:pStyle w:val="TableText"/>
              <w:rPr>
                <w:lang w:val="en-US" w:eastAsia="ko-KR"/>
              </w:rPr>
            </w:pPr>
            <w:r w:rsidRPr="008D26AB">
              <w:rPr>
                <w:lang w:val="en-US" w:eastAsia="ko-KR"/>
              </w:rPr>
              <w:t>UNDP</w:t>
            </w:r>
          </w:p>
        </w:tc>
        <w:tc>
          <w:tcPr>
            <w:tcW w:w="1984" w:type="dxa"/>
            <w:tcBorders>
              <w:top w:val="nil"/>
              <w:left w:val="nil"/>
              <w:bottom w:val="single" w:sz="4" w:space="0" w:color="auto"/>
              <w:right w:val="single" w:sz="4" w:space="0" w:color="auto"/>
            </w:tcBorders>
            <w:noWrap/>
            <w:hideMark/>
          </w:tcPr>
          <w:p w14:paraId="3336CD06" w14:textId="77777777" w:rsidR="00690701" w:rsidRPr="008D26AB" w:rsidRDefault="00690701">
            <w:pPr>
              <w:pStyle w:val="TableText"/>
              <w:rPr>
                <w:lang w:val="en-US" w:eastAsia="ko-KR"/>
              </w:rPr>
            </w:pPr>
            <w:r w:rsidRPr="008D26AB">
              <w:rPr>
                <w:lang w:val="en-US" w:eastAsia="ko-KR"/>
              </w:rPr>
              <w:t>Norway</w:t>
            </w:r>
          </w:p>
        </w:tc>
        <w:tc>
          <w:tcPr>
            <w:tcW w:w="1701" w:type="dxa"/>
            <w:tcBorders>
              <w:top w:val="nil"/>
              <w:left w:val="nil"/>
              <w:bottom w:val="single" w:sz="4" w:space="0" w:color="auto"/>
              <w:right w:val="single" w:sz="4" w:space="0" w:color="auto"/>
            </w:tcBorders>
            <w:noWrap/>
            <w:hideMark/>
          </w:tcPr>
          <w:p w14:paraId="58641D38" w14:textId="77777777" w:rsidR="00690701" w:rsidRPr="008D26AB" w:rsidRDefault="00690701">
            <w:pPr>
              <w:pStyle w:val="TableText"/>
              <w:rPr>
                <w:lang w:val="en-US" w:eastAsia="ko-KR"/>
              </w:rPr>
            </w:pPr>
            <w:r w:rsidRPr="008D26AB">
              <w:rPr>
                <w:lang w:val="en-US" w:eastAsia="ko-KR"/>
              </w:rPr>
              <w:t>Finland</w:t>
            </w:r>
          </w:p>
        </w:tc>
        <w:tc>
          <w:tcPr>
            <w:tcW w:w="2268" w:type="dxa"/>
            <w:tcBorders>
              <w:top w:val="nil"/>
              <w:left w:val="nil"/>
              <w:bottom w:val="single" w:sz="4" w:space="0" w:color="auto"/>
              <w:right w:val="single" w:sz="4" w:space="0" w:color="auto"/>
            </w:tcBorders>
            <w:noWrap/>
            <w:hideMark/>
          </w:tcPr>
          <w:p w14:paraId="13C1D679" w14:textId="77777777" w:rsidR="00690701" w:rsidRPr="008D26AB" w:rsidRDefault="00690701">
            <w:pPr>
              <w:pStyle w:val="TableText"/>
              <w:jc w:val="right"/>
              <w:rPr>
                <w:lang w:val="en-US" w:eastAsia="ko-KR"/>
              </w:rPr>
            </w:pPr>
            <w:r w:rsidRPr="008D26AB">
              <w:rPr>
                <w:lang w:val="en-US" w:eastAsia="ko-KR"/>
              </w:rPr>
              <w:t xml:space="preserve">9,956,803 </w:t>
            </w:r>
          </w:p>
        </w:tc>
        <w:tc>
          <w:tcPr>
            <w:tcW w:w="2268" w:type="dxa"/>
            <w:tcBorders>
              <w:top w:val="nil"/>
              <w:left w:val="nil"/>
              <w:bottom w:val="single" w:sz="4" w:space="0" w:color="auto"/>
              <w:right w:val="single" w:sz="4" w:space="0" w:color="auto"/>
            </w:tcBorders>
            <w:noWrap/>
            <w:hideMark/>
          </w:tcPr>
          <w:p w14:paraId="0E4D8D5E" w14:textId="77777777" w:rsidR="00690701" w:rsidRPr="008D26AB" w:rsidRDefault="00690701">
            <w:pPr>
              <w:pStyle w:val="TableText"/>
              <w:jc w:val="right"/>
              <w:rPr>
                <w:lang w:val="en-US" w:eastAsia="ko-KR"/>
              </w:rPr>
            </w:pPr>
            <w:r w:rsidRPr="008D26AB">
              <w:rPr>
                <w:lang w:val="en-US" w:eastAsia="ko-KR"/>
              </w:rPr>
              <w:t xml:space="preserve">6,701,576 </w:t>
            </w:r>
          </w:p>
        </w:tc>
        <w:tc>
          <w:tcPr>
            <w:tcW w:w="2835" w:type="dxa"/>
            <w:tcBorders>
              <w:top w:val="nil"/>
              <w:left w:val="nil"/>
              <w:bottom w:val="single" w:sz="4" w:space="0" w:color="auto"/>
              <w:right w:val="single" w:sz="4" w:space="0" w:color="auto"/>
            </w:tcBorders>
            <w:noWrap/>
            <w:hideMark/>
          </w:tcPr>
          <w:p w14:paraId="50350579"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1CE4B79B"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66377458" w14:textId="77777777" w:rsidR="00690701" w:rsidRPr="00D51140" w:rsidRDefault="00690701">
            <w:pPr>
              <w:pStyle w:val="TableText"/>
              <w:rPr>
                <w:b/>
                <w:bCs/>
                <w:lang w:val="en-US" w:eastAsia="ko-KR"/>
              </w:rPr>
            </w:pPr>
            <w:r w:rsidRPr="00D51140">
              <w:rPr>
                <w:b/>
                <w:bCs/>
                <w:lang w:val="en-US" w:eastAsia="ko-KR"/>
              </w:rPr>
              <w:t>Kiribati</w:t>
            </w:r>
          </w:p>
        </w:tc>
        <w:tc>
          <w:tcPr>
            <w:tcW w:w="1843" w:type="dxa"/>
            <w:tcBorders>
              <w:top w:val="nil"/>
              <w:left w:val="nil"/>
              <w:bottom w:val="single" w:sz="4" w:space="0" w:color="auto"/>
              <w:right w:val="single" w:sz="4" w:space="0" w:color="auto"/>
            </w:tcBorders>
            <w:noWrap/>
            <w:hideMark/>
          </w:tcPr>
          <w:p w14:paraId="7877306D" w14:textId="77777777" w:rsidR="00690701" w:rsidRPr="008D26AB" w:rsidRDefault="00690701">
            <w:pPr>
              <w:pStyle w:val="TableText"/>
              <w:rPr>
                <w:lang w:val="en-US" w:eastAsia="ko-KR"/>
              </w:rPr>
            </w:pPr>
            <w:r w:rsidRPr="008D26AB">
              <w:rPr>
                <w:lang w:val="en-US" w:eastAsia="ko-KR"/>
              </w:rPr>
              <w:t>Nov 2023</w:t>
            </w:r>
          </w:p>
        </w:tc>
        <w:tc>
          <w:tcPr>
            <w:tcW w:w="1134" w:type="dxa"/>
            <w:tcBorders>
              <w:top w:val="nil"/>
              <w:left w:val="nil"/>
              <w:bottom w:val="single" w:sz="4" w:space="0" w:color="auto"/>
              <w:right w:val="single" w:sz="4" w:space="0" w:color="auto"/>
            </w:tcBorders>
            <w:noWrap/>
            <w:hideMark/>
          </w:tcPr>
          <w:p w14:paraId="0F89CB59" w14:textId="77777777" w:rsidR="00690701" w:rsidRPr="008D26AB" w:rsidRDefault="00690701">
            <w:pPr>
              <w:pStyle w:val="TableText"/>
              <w:rPr>
                <w:lang w:val="en-US" w:eastAsia="ko-KR"/>
              </w:rPr>
            </w:pPr>
            <w:r w:rsidRPr="008D26AB">
              <w:rPr>
                <w:lang w:val="en-US" w:eastAsia="ko-KR"/>
              </w:rPr>
              <w:t>UNEP</w:t>
            </w:r>
          </w:p>
        </w:tc>
        <w:tc>
          <w:tcPr>
            <w:tcW w:w="1984" w:type="dxa"/>
            <w:tcBorders>
              <w:top w:val="nil"/>
              <w:left w:val="nil"/>
              <w:bottom w:val="single" w:sz="4" w:space="0" w:color="auto"/>
              <w:right w:val="single" w:sz="4" w:space="0" w:color="auto"/>
            </w:tcBorders>
            <w:noWrap/>
            <w:hideMark/>
          </w:tcPr>
          <w:p w14:paraId="344AD1A6" w14:textId="77777777" w:rsidR="00690701" w:rsidRPr="008D26AB" w:rsidRDefault="00690701">
            <w:pPr>
              <w:pStyle w:val="TableText"/>
              <w:rPr>
                <w:lang w:val="en-US" w:eastAsia="ko-KR"/>
              </w:rPr>
            </w:pPr>
            <w:r w:rsidRPr="008D26AB">
              <w:rPr>
                <w:lang w:val="en-US" w:eastAsia="ko-KR"/>
              </w:rPr>
              <w:t>Australia</w:t>
            </w:r>
          </w:p>
        </w:tc>
        <w:tc>
          <w:tcPr>
            <w:tcW w:w="1701" w:type="dxa"/>
            <w:tcBorders>
              <w:top w:val="nil"/>
              <w:left w:val="nil"/>
              <w:bottom w:val="single" w:sz="4" w:space="0" w:color="auto"/>
              <w:right w:val="single" w:sz="4" w:space="0" w:color="auto"/>
            </w:tcBorders>
            <w:noWrap/>
            <w:hideMark/>
          </w:tcPr>
          <w:p w14:paraId="3559AF9D"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4CB2D980" w14:textId="77777777" w:rsidR="00690701" w:rsidRPr="008D26AB" w:rsidRDefault="00690701">
            <w:pPr>
              <w:pStyle w:val="TableText"/>
              <w:jc w:val="right"/>
              <w:rPr>
                <w:lang w:val="en-US" w:eastAsia="ko-KR"/>
              </w:rPr>
            </w:pPr>
            <w:r w:rsidRPr="008D26AB">
              <w:rPr>
                <w:lang w:val="en-US" w:eastAsia="ko-KR"/>
              </w:rPr>
              <w:t xml:space="preserve">11,155,102 </w:t>
            </w:r>
          </w:p>
        </w:tc>
        <w:tc>
          <w:tcPr>
            <w:tcW w:w="2268" w:type="dxa"/>
            <w:tcBorders>
              <w:top w:val="nil"/>
              <w:left w:val="nil"/>
              <w:bottom w:val="single" w:sz="4" w:space="0" w:color="auto"/>
              <w:right w:val="single" w:sz="4" w:space="0" w:color="auto"/>
            </w:tcBorders>
            <w:noWrap/>
            <w:hideMark/>
          </w:tcPr>
          <w:p w14:paraId="044ED793" w14:textId="77777777" w:rsidR="00690701" w:rsidRPr="008D26AB" w:rsidRDefault="00690701">
            <w:pPr>
              <w:pStyle w:val="TableText"/>
              <w:jc w:val="right"/>
              <w:rPr>
                <w:lang w:val="en-US" w:eastAsia="ko-KR"/>
              </w:rPr>
            </w:pPr>
            <w:r w:rsidRPr="008D26AB">
              <w:rPr>
                <w:lang w:val="en-US" w:eastAsia="ko-KR"/>
              </w:rPr>
              <w:t xml:space="preserve">9,715,184 </w:t>
            </w:r>
          </w:p>
        </w:tc>
        <w:tc>
          <w:tcPr>
            <w:tcW w:w="2835" w:type="dxa"/>
            <w:tcBorders>
              <w:top w:val="nil"/>
              <w:left w:val="nil"/>
              <w:bottom w:val="single" w:sz="4" w:space="0" w:color="auto"/>
              <w:right w:val="single" w:sz="4" w:space="0" w:color="auto"/>
            </w:tcBorders>
            <w:noWrap/>
            <w:hideMark/>
          </w:tcPr>
          <w:p w14:paraId="5FB0CE3C"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309E70B3" w14:textId="77777777" w:rsidTr="00862D65">
        <w:trPr>
          <w:trHeight w:val="320"/>
        </w:trPr>
        <w:tc>
          <w:tcPr>
            <w:tcW w:w="3681" w:type="dxa"/>
            <w:tcBorders>
              <w:top w:val="nil"/>
              <w:left w:val="single" w:sz="4" w:space="0" w:color="auto"/>
              <w:bottom w:val="single" w:sz="4" w:space="0" w:color="auto"/>
              <w:right w:val="single" w:sz="4" w:space="0" w:color="auto"/>
            </w:tcBorders>
            <w:noWrap/>
          </w:tcPr>
          <w:p w14:paraId="0D6466B1" w14:textId="77777777" w:rsidR="00690701" w:rsidRPr="00D51140" w:rsidRDefault="00690701">
            <w:pPr>
              <w:pStyle w:val="TableText"/>
              <w:rPr>
                <w:b/>
                <w:bCs/>
                <w:lang w:val="en-US" w:eastAsia="ko-KR"/>
              </w:rPr>
            </w:pPr>
            <w:r w:rsidRPr="00D51140">
              <w:rPr>
                <w:b/>
                <w:bCs/>
                <w:lang w:val="en-US" w:eastAsia="ko-KR"/>
              </w:rPr>
              <w:t>Madagascar</w:t>
            </w:r>
          </w:p>
        </w:tc>
        <w:tc>
          <w:tcPr>
            <w:tcW w:w="1843" w:type="dxa"/>
            <w:tcBorders>
              <w:top w:val="nil"/>
              <w:left w:val="nil"/>
              <w:bottom w:val="single" w:sz="4" w:space="0" w:color="auto"/>
              <w:right w:val="single" w:sz="4" w:space="0" w:color="auto"/>
            </w:tcBorders>
            <w:noWrap/>
          </w:tcPr>
          <w:p w14:paraId="5FC43C50" w14:textId="77777777" w:rsidR="00690701" w:rsidRPr="008D26AB" w:rsidRDefault="00690701">
            <w:pPr>
              <w:pStyle w:val="TableText"/>
              <w:rPr>
                <w:lang w:val="en-US" w:eastAsia="ko-KR"/>
              </w:rPr>
            </w:pPr>
            <w:r>
              <w:rPr>
                <w:lang w:val="en-US" w:eastAsia="ko-KR"/>
              </w:rPr>
              <w:t>Feb 2025</w:t>
            </w:r>
          </w:p>
        </w:tc>
        <w:tc>
          <w:tcPr>
            <w:tcW w:w="1134" w:type="dxa"/>
            <w:tcBorders>
              <w:top w:val="nil"/>
              <w:left w:val="nil"/>
              <w:bottom w:val="single" w:sz="4" w:space="0" w:color="auto"/>
              <w:right w:val="single" w:sz="4" w:space="0" w:color="auto"/>
            </w:tcBorders>
            <w:noWrap/>
          </w:tcPr>
          <w:p w14:paraId="064AA2C1" w14:textId="77777777" w:rsidR="00690701" w:rsidRPr="008D26AB" w:rsidRDefault="00690701">
            <w:pPr>
              <w:pStyle w:val="TableText"/>
              <w:rPr>
                <w:lang w:val="en-US" w:eastAsia="ko-KR"/>
              </w:rPr>
            </w:pPr>
            <w:r>
              <w:rPr>
                <w:lang w:val="en-US" w:eastAsia="ko-KR"/>
              </w:rPr>
              <w:t>UNDP</w:t>
            </w:r>
          </w:p>
        </w:tc>
        <w:tc>
          <w:tcPr>
            <w:tcW w:w="1984" w:type="dxa"/>
            <w:tcBorders>
              <w:top w:val="nil"/>
              <w:left w:val="nil"/>
              <w:bottom w:val="single" w:sz="4" w:space="0" w:color="auto"/>
              <w:right w:val="single" w:sz="4" w:space="0" w:color="auto"/>
            </w:tcBorders>
            <w:noWrap/>
          </w:tcPr>
          <w:p w14:paraId="785289D8" w14:textId="77777777" w:rsidR="00690701" w:rsidRPr="008D26AB" w:rsidRDefault="00690701">
            <w:pPr>
              <w:pStyle w:val="TableText"/>
              <w:rPr>
                <w:lang w:val="en-US" w:eastAsia="ko-KR"/>
              </w:rPr>
            </w:pPr>
            <w:r>
              <w:rPr>
                <w:lang w:val="en-US" w:eastAsia="ko-KR"/>
              </w:rPr>
              <w:t>Germany</w:t>
            </w:r>
          </w:p>
        </w:tc>
        <w:tc>
          <w:tcPr>
            <w:tcW w:w="1701" w:type="dxa"/>
            <w:tcBorders>
              <w:top w:val="nil"/>
              <w:left w:val="nil"/>
              <w:bottom w:val="single" w:sz="4" w:space="0" w:color="auto"/>
              <w:right w:val="single" w:sz="4" w:space="0" w:color="auto"/>
            </w:tcBorders>
            <w:noWrap/>
          </w:tcPr>
          <w:p w14:paraId="117F2B77" w14:textId="77777777" w:rsidR="00690701" w:rsidRPr="008D26AB" w:rsidRDefault="00690701">
            <w:pPr>
              <w:pStyle w:val="TableText"/>
              <w:rPr>
                <w:lang w:val="en-US" w:eastAsia="ko-KR"/>
              </w:rPr>
            </w:pPr>
          </w:p>
        </w:tc>
        <w:tc>
          <w:tcPr>
            <w:tcW w:w="2268" w:type="dxa"/>
            <w:tcBorders>
              <w:top w:val="nil"/>
              <w:left w:val="nil"/>
              <w:bottom w:val="single" w:sz="4" w:space="0" w:color="auto"/>
              <w:right w:val="single" w:sz="4" w:space="0" w:color="auto"/>
            </w:tcBorders>
            <w:noWrap/>
          </w:tcPr>
          <w:p w14:paraId="56B341C8" w14:textId="77777777" w:rsidR="00690701" w:rsidRPr="008D26AB" w:rsidRDefault="00690701">
            <w:pPr>
              <w:pStyle w:val="TableText"/>
              <w:jc w:val="right"/>
              <w:rPr>
                <w:lang w:val="en-US" w:eastAsia="ko-KR"/>
              </w:rPr>
            </w:pPr>
            <w:r w:rsidRPr="00EC75E8">
              <w:rPr>
                <w:lang w:val="en-US" w:eastAsia="ko-KR"/>
              </w:rPr>
              <w:t>4,914,295.84</w:t>
            </w:r>
          </w:p>
        </w:tc>
        <w:tc>
          <w:tcPr>
            <w:tcW w:w="2268" w:type="dxa"/>
            <w:tcBorders>
              <w:top w:val="nil"/>
              <w:left w:val="nil"/>
              <w:bottom w:val="single" w:sz="4" w:space="0" w:color="auto"/>
              <w:right w:val="single" w:sz="4" w:space="0" w:color="auto"/>
            </w:tcBorders>
            <w:noWrap/>
          </w:tcPr>
          <w:p w14:paraId="35EF6F6C" w14:textId="77777777" w:rsidR="00690701" w:rsidRPr="008D26AB" w:rsidRDefault="00690701">
            <w:pPr>
              <w:pStyle w:val="TableText"/>
              <w:jc w:val="right"/>
              <w:rPr>
                <w:lang w:val="en-US" w:eastAsia="ko-KR"/>
              </w:rPr>
            </w:pPr>
            <w:r w:rsidRPr="00322D6A">
              <w:rPr>
                <w:lang w:val="en-US" w:eastAsia="ko-KR"/>
              </w:rPr>
              <w:t>3,752,903</w:t>
            </w:r>
          </w:p>
        </w:tc>
        <w:tc>
          <w:tcPr>
            <w:tcW w:w="2835" w:type="dxa"/>
            <w:tcBorders>
              <w:top w:val="nil"/>
              <w:left w:val="nil"/>
              <w:bottom w:val="single" w:sz="4" w:space="0" w:color="auto"/>
              <w:right w:val="single" w:sz="4" w:space="0" w:color="auto"/>
            </w:tcBorders>
            <w:noWrap/>
          </w:tcPr>
          <w:p w14:paraId="3D924CF0" w14:textId="77777777" w:rsidR="00690701" w:rsidRPr="008D26AB" w:rsidRDefault="00690701">
            <w:pPr>
              <w:pStyle w:val="TableText"/>
              <w:rPr>
                <w:lang w:val="en-US" w:eastAsia="ko-KR"/>
              </w:rPr>
            </w:pPr>
            <w:r>
              <w:rPr>
                <w:lang w:val="en-US" w:eastAsia="ko-KR"/>
              </w:rPr>
              <w:t>Under implementation</w:t>
            </w:r>
          </w:p>
        </w:tc>
      </w:tr>
      <w:tr w:rsidR="00690701" w:rsidRPr="008D26AB" w14:paraId="3964900B"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495650E1" w14:textId="77777777" w:rsidR="00690701" w:rsidRPr="00D51140" w:rsidRDefault="00690701">
            <w:pPr>
              <w:pStyle w:val="TableText"/>
              <w:rPr>
                <w:b/>
                <w:bCs/>
                <w:lang w:val="en-US" w:eastAsia="ko-KR"/>
              </w:rPr>
            </w:pPr>
            <w:r w:rsidRPr="00D51140">
              <w:rPr>
                <w:b/>
                <w:bCs/>
                <w:lang w:val="en-US" w:eastAsia="ko-KR"/>
              </w:rPr>
              <w:t>Maldives</w:t>
            </w:r>
          </w:p>
        </w:tc>
        <w:tc>
          <w:tcPr>
            <w:tcW w:w="1843" w:type="dxa"/>
            <w:tcBorders>
              <w:top w:val="nil"/>
              <w:left w:val="nil"/>
              <w:bottom w:val="single" w:sz="4" w:space="0" w:color="auto"/>
              <w:right w:val="single" w:sz="4" w:space="0" w:color="auto"/>
            </w:tcBorders>
            <w:noWrap/>
            <w:hideMark/>
          </w:tcPr>
          <w:p w14:paraId="0F699704" w14:textId="77777777" w:rsidR="00690701" w:rsidRPr="008D26AB" w:rsidRDefault="00690701">
            <w:pPr>
              <w:pStyle w:val="TableText"/>
              <w:rPr>
                <w:lang w:val="en-US" w:eastAsia="ko-KR"/>
              </w:rPr>
            </w:pPr>
            <w:r w:rsidRPr="008D26AB">
              <w:rPr>
                <w:lang w:val="en-US" w:eastAsia="ko-KR"/>
              </w:rPr>
              <w:t>Nov 2023</w:t>
            </w:r>
          </w:p>
        </w:tc>
        <w:tc>
          <w:tcPr>
            <w:tcW w:w="1134" w:type="dxa"/>
            <w:tcBorders>
              <w:top w:val="nil"/>
              <w:left w:val="nil"/>
              <w:bottom w:val="single" w:sz="4" w:space="0" w:color="auto"/>
              <w:right w:val="single" w:sz="4" w:space="0" w:color="auto"/>
            </w:tcBorders>
            <w:noWrap/>
            <w:hideMark/>
          </w:tcPr>
          <w:p w14:paraId="60D32EAC" w14:textId="77777777" w:rsidR="00690701" w:rsidRPr="008D26AB" w:rsidRDefault="00690701">
            <w:pPr>
              <w:pStyle w:val="TableText"/>
              <w:rPr>
                <w:lang w:val="en-US" w:eastAsia="ko-KR"/>
              </w:rPr>
            </w:pPr>
            <w:r w:rsidRPr="008D26AB">
              <w:rPr>
                <w:lang w:val="en-US" w:eastAsia="ko-KR"/>
              </w:rPr>
              <w:t>UNEP</w:t>
            </w:r>
          </w:p>
        </w:tc>
        <w:tc>
          <w:tcPr>
            <w:tcW w:w="1984" w:type="dxa"/>
            <w:tcBorders>
              <w:top w:val="nil"/>
              <w:left w:val="nil"/>
              <w:bottom w:val="single" w:sz="4" w:space="0" w:color="auto"/>
              <w:right w:val="single" w:sz="4" w:space="0" w:color="auto"/>
            </w:tcBorders>
            <w:noWrap/>
            <w:hideMark/>
          </w:tcPr>
          <w:p w14:paraId="20B25B7F" w14:textId="77777777" w:rsidR="00690701" w:rsidRPr="008D26AB" w:rsidRDefault="00690701">
            <w:pPr>
              <w:pStyle w:val="TableText"/>
              <w:rPr>
                <w:lang w:val="en-US" w:eastAsia="ko-KR"/>
              </w:rPr>
            </w:pPr>
            <w:r w:rsidRPr="008D26AB">
              <w:rPr>
                <w:lang w:val="en-US" w:eastAsia="ko-KR"/>
              </w:rPr>
              <w:t>Finland</w:t>
            </w:r>
          </w:p>
        </w:tc>
        <w:tc>
          <w:tcPr>
            <w:tcW w:w="1701" w:type="dxa"/>
            <w:tcBorders>
              <w:top w:val="nil"/>
              <w:left w:val="nil"/>
              <w:bottom w:val="single" w:sz="4" w:space="0" w:color="auto"/>
              <w:right w:val="single" w:sz="4" w:space="0" w:color="auto"/>
            </w:tcBorders>
            <w:noWrap/>
            <w:hideMark/>
          </w:tcPr>
          <w:p w14:paraId="756CD6E6" w14:textId="77777777" w:rsidR="00690701" w:rsidRPr="008D26AB" w:rsidRDefault="00690701">
            <w:pPr>
              <w:pStyle w:val="TableText"/>
              <w:rPr>
                <w:lang w:val="en-US" w:eastAsia="ko-KR"/>
              </w:rPr>
            </w:pPr>
            <w:r w:rsidRPr="008D26AB">
              <w:rPr>
                <w:lang w:val="en-US" w:eastAsia="ko-KR"/>
              </w:rPr>
              <w:t>Indonesia</w:t>
            </w:r>
          </w:p>
        </w:tc>
        <w:tc>
          <w:tcPr>
            <w:tcW w:w="2268" w:type="dxa"/>
            <w:tcBorders>
              <w:top w:val="nil"/>
              <w:left w:val="nil"/>
              <w:bottom w:val="single" w:sz="4" w:space="0" w:color="auto"/>
              <w:right w:val="single" w:sz="4" w:space="0" w:color="auto"/>
            </w:tcBorders>
            <w:noWrap/>
            <w:hideMark/>
          </w:tcPr>
          <w:p w14:paraId="6B7D257F" w14:textId="77777777" w:rsidR="00690701" w:rsidRPr="008D26AB" w:rsidRDefault="00690701">
            <w:pPr>
              <w:pStyle w:val="TableText"/>
              <w:jc w:val="right"/>
              <w:rPr>
                <w:lang w:val="en-US" w:eastAsia="ko-KR"/>
              </w:rPr>
            </w:pPr>
            <w:r w:rsidRPr="008D26AB">
              <w:rPr>
                <w:lang w:val="en-US" w:eastAsia="ko-KR"/>
              </w:rPr>
              <w:t xml:space="preserve">4,907,326 </w:t>
            </w:r>
          </w:p>
        </w:tc>
        <w:tc>
          <w:tcPr>
            <w:tcW w:w="2268" w:type="dxa"/>
            <w:tcBorders>
              <w:top w:val="nil"/>
              <w:left w:val="nil"/>
              <w:bottom w:val="single" w:sz="4" w:space="0" w:color="auto"/>
              <w:right w:val="single" w:sz="4" w:space="0" w:color="auto"/>
            </w:tcBorders>
            <w:noWrap/>
            <w:hideMark/>
          </w:tcPr>
          <w:p w14:paraId="3B14615D" w14:textId="77777777" w:rsidR="00690701" w:rsidRPr="008D26AB" w:rsidRDefault="00690701">
            <w:pPr>
              <w:pStyle w:val="TableText"/>
              <w:jc w:val="right"/>
              <w:rPr>
                <w:lang w:val="en-US" w:eastAsia="ko-KR"/>
              </w:rPr>
            </w:pPr>
            <w:r w:rsidRPr="008D26AB">
              <w:rPr>
                <w:lang w:val="en-US" w:eastAsia="ko-KR"/>
              </w:rPr>
              <w:t xml:space="preserve">4,149,791 </w:t>
            </w:r>
          </w:p>
        </w:tc>
        <w:tc>
          <w:tcPr>
            <w:tcW w:w="2835" w:type="dxa"/>
            <w:tcBorders>
              <w:top w:val="nil"/>
              <w:left w:val="nil"/>
              <w:bottom w:val="single" w:sz="4" w:space="0" w:color="auto"/>
              <w:right w:val="single" w:sz="4" w:space="0" w:color="auto"/>
            </w:tcBorders>
            <w:noWrap/>
            <w:hideMark/>
          </w:tcPr>
          <w:p w14:paraId="17E7F9BD"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619AF546"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61F6BB4E" w14:textId="77777777" w:rsidR="00690701" w:rsidRPr="00D51140" w:rsidRDefault="00690701">
            <w:pPr>
              <w:pStyle w:val="TableText"/>
              <w:rPr>
                <w:b/>
                <w:bCs/>
                <w:lang w:val="en-US" w:eastAsia="ko-KR"/>
              </w:rPr>
            </w:pPr>
            <w:r w:rsidRPr="00D51140">
              <w:rPr>
                <w:b/>
                <w:bCs/>
                <w:lang w:val="en-US" w:eastAsia="ko-KR"/>
              </w:rPr>
              <w:t>Mozambique</w:t>
            </w:r>
          </w:p>
        </w:tc>
        <w:tc>
          <w:tcPr>
            <w:tcW w:w="1843" w:type="dxa"/>
            <w:tcBorders>
              <w:top w:val="nil"/>
              <w:left w:val="nil"/>
              <w:bottom w:val="single" w:sz="4" w:space="0" w:color="auto"/>
              <w:right w:val="single" w:sz="4" w:space="0" w:color="auto"/>
            </w:tcBorders>
            <w:noWrap/>
            <w:hideMark/>
          </w:tcPr>
          <w:p w14:paraId="517C79D9" w14:textId="77777777" w:rsidR="00690701" w:rsidRPr="008D26AB" w:rsidRDefault="00690701">
            <w:pPr>
              <w:pStyle w:val="TableText"/>
              <w:rPr>
                <w:lang w:val="en-US" w:eastAsia="ko-KR"/>
              </w:rPr>
            </w:pPr>
            <w:r w:rsidRPr="008D26AB">
              <w:rPr>
                <w:lang w:val="en-US" w:eastAsia="ko-KR"/>
              </w:rPr>
              <w:t>Nov 2023</w:t>
            </w:r>
          </w:p>
        </w:tc>
        <w:tc>
          <w:tcPr>
            <w:tcW w:w="1134" w:type="dxa"/>
            <w:tcBorders>
              <w:top w:val="nil"/>
              <w:left w:val="nil"/>
              <w:bottom w:val="single" w:sz="4" w:space="0" w:color="auto"/>
              <w:right w:val="single" w:sz="4" w:space="0" w:color="auto"/>
            </w:tcBorders>
            <w:noWrap/>
            <w:hideMark/>
          </w:tcPr>
          <w:p w14:paraId="2F5B63DB" w14:textId="77777777" w:rsidR="00690701" w:rsidRPr="008D26AB" w:rsidRDefault="00690701">
            <w:pPr>
              <w:pStyle w:val="TableText"/>
              <w:rPr>
                <w:lang w:val="en-US" w:eastAsia="ko-KR"/>
              </w:rPr>
            </w:pPr>
            <w:r w:rsidRPr="008D26AB">
              <w:rPr>
                <w:lang w:val="en-US" w:eastAsia="ko-KR"/>
              </w:rPr>
              <w:t>WFP</w:t>
            </w:r>
          </w:p>
        </w:tc>
        <w:tc>
          <w:tcPr>
            <w:tcW w:w="1984" w:type="dxa"/>
            <w:tcBorders>
              <w:top w:val="nil"/>
              <w:left w:val="nil"/>
              <w:bottom w:val="single" w:sz="4" w:space="0" w:color="auto"/>
              <w:right w:val="single" w:sz="4" w:space="0" w:color="auto"/>
            </w:tcBorders>
            <w:noWrap/>
            <w:hideMark/>
          </w:tcPr>
          <w:p w14:paraId="6012A338" w14:textId="77777777" w:rsidR="00690701" w:rsidRPr="008D26AB" w:rsidRDefault="00690701">
            <w:pPr>
              <w:pStyle w:val="TableText"/>
              <w:rPr>
                <w:lang w:val="en-US" w:eastAsia="ko-KR"/>
              </w:rPr>
            </w:pPr>
            <w:r w:rsidRPr="008D26AB">
              <w:rPr>
                <w:lang w:val="en-US" w:eastAsia="ko-KR"/>
              </w:rPr>
              <w:t>South Africa</w:t>
            </w:r>
          </w:p>
        </w:tc>
        <w:tc>
          <w:tcPr>
            <w:tcW w:w="1701" w:type="dxa"/>
            <w:tcBorders>
              <w:top w:val="nil"/>
              <w:left w:val="nil"/>
              <w:bottom w:val="single" w:sz="4" w:space="0" w:color="auto"/>
              <w:right w:val="single" w:sz="4" w:space="0" w:color="auto"/>
            </w:tcBorders>
            <w:noWrap/>
            <w:hideMark/>
          </w:tcPr>
          <w:p w14:paraId="460C934E"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6B7BE9C1" w14:textId="77777777" w:rsidR="00690701" w:rsidRPr="008D26AB" w:rsidRDefault="00690701">
            <w:pPr>
              <w:pStyle w:val="TableText"/>
              <w:jc w:val="right"/>
              <w:rPr>
                <w:lang w:val="en-US" w:eastAsia="ko-KR"/>
              </w:rPr>
            </w:pPr>
            <w:r w:rsidRPr="008D26AB">
              <w:rPr>
                <w:lang w:val="en-US" w:eastAsia="ko-KR"/>
              </w:rPr>
              <w:t xml:space="preserve">7,892,560 </w:t>
            </w:r>
          </w:p>
        </w:tc>
        <w:tc>
          <w:tcPr>
            <w:tcW w:w="2268" w:type="dxa"/>
            <w:tcBorders>
              <w:top w:val="nil"/>
              <w:left w:val="nil"/>
              <w:bottom w:val="single" w:sz="4" w:space="0" w:color="auto"/>
              <w:right w:val="single" w:sz="4" w:space="0" w:color="auto"/>
            </w:tcBorders>
            <w:noWrap/>
            <w:hideMark/>
          </w:tcPr>
          <w:p w14:paraId="0BC389D4" w14:textId="77777777" w:rsidR="00690701" w:rsidRPr="008D26AB" w:rsidRDefault="00690701">
            <w:pPr>
              <w:pStyle w:val="TableText"/>
              <w:jc w:val="right"/>
              <w:rPr>
                <w:lang w:val="en-US" w:eastAsia="ko-KR"/>
              </w:rPr>
            </w:pPr>
            <w:r w:rsidRPr="008D26AB">
              <w:rPr>
                <w:lang w:val="en-US" w:eastAsia="ko-KR"/>
              </w:rPr>
              <w:t xml:space="preserve">5,373,477 </w:t>
            </w:r>
          </w:p>
        </w:tc>
        <w:tc>
          <w:tcPr>
            <w:tcW w:w="2835" w:type="dxa"/>
            <w:tcBorders>
              <w:top w:val="nil"/>
              <w:left w:val="nil"/>
              <w:bottom w:val="single" w:sz="4" w:space="0" w:color="auto"/>
              <w:right w:val="single" w:sz="4" w:space="0" w:color="auto"/>
            </w:tcBorders>
            <w:noWrap/>
            <w:hideMark/>
          </w:tcPr>
          <w:p w14:paraId="678B2F1A"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2D42A50A" w14:textId="77777777" w:rsidTr="00862D65">
        <w:trPr>
          <w:trHeight w:val="90"/>
        </w:trPr>
        <w:tc>
          <w:tcPr>
            <w:tcW w:w="3681" w:type="dxa"/>
            <w:tcBorders>
              <w:top w:val="nil"/>
              <w:left w:val="single" w:sz="4" w:space="0" w:color="auto"/>
              <w:bottom w:val="single" w:sz="4" w:space="0" w:color="auto"/>
              <w:right w:val="single" w:sz="4" w:space="0" w:color="auto"/>
            </w:tcBorders>
            <w:noWrap/>
            <w:hideMark/>
          </w:tcPr>
          <w:p w14:paraId="10C06FCD" w14:textId="77777777" w:rsidR="00690701" w:rsidRPr="00D51140" w:rsidRDefault="00690701">
            <w:pPr>
              <w:pStyle w:val="TableText"/>
              <w:rPr>
                <w:b/>
                <w:bCs/>
                <w:lang w:val="en-US" w:eastAsia="ko-KR"/>
              </w:rPr>
            </w:pPr>
            <w:r w:rsidRPr="00D51140">
              <w:rPr>
                <w:b/>
                <w:bCs/>
                <w:lang w:val="en-US" w:eastAsia="ko-KR"/>
              </w:rPr>
              <w:t>Rwanda</w:t>
            </w:r>
          </w:p>
        </w:tc>
        <w:tc>
          <w:tcPr>
            <w:tcW w:w="1843" w:type="dxa"/>
            <w:tcBorders>
              <w:top w:val="nil"/>
              <w:left w:val="nil"/>
              <w:bottom w:val="single" w:sz="4" w:space="0" w:color="auto"/>
              <w:right w:val="single" w:sz="4" w:space="0" w:color="auto"/>
            </w:tcBorders>
            <w:noWrap/>
            <w:hideMark/>
          </w:tcPr>
          <w:p w14:paraId="418DB821" w14:textId="77777777" w:rsidR="00690701" w:rsidRPr="008D26AB" w:rsidRDefault="00690701">
            <w:pPr>
              <w:pStyle w:val="TableText"/>
              <w:rPr>
                <w:lang w:val="en-US" w:eastAsia="ko-KR"/>
              </w:rPr>
            </w:pPr>
            <w:r w:rsidRPr="008D26AB">
              <w:rPr>
                <w:lang w:val="en-US" w:eastAsia="ko-KR"/>
              </w:rPr>
              <w:t>Nov 2023</w:t>
            </w:r>
          </w:p>
        </w:tc>
        <w:tc>
          <w:tcPr>
            <w:tcW w:w="1134" w:type="dxa"/>
            <w:tcBorders>
              <w:top w:val="nil"/>
              <w:left w:val="nil"/>
              <w:bottom w:val="single" w:sz="4" w:space="0" w:color="auto"/>
              <w:right w:val="single" w:sz="4" w:space="0" w:color="auto"/>
            </w:tcBorders>
            <w:noWrap/>
            <w:hideMark/>
          </w:tcPr>
          <w:p w14:paraId="74DDADB7" w14:textId="77777777" w:rsidR="00690701" w:rsidRPr="008D26AB" w:rsidRDefault="00690701">
            <w:pPr>
              <w:pStyle w:val="TableText"/>
              <w:rPr>
                <w:lang w:val="en-US" w:eastAsia="ko-KR"/>
              </w:rPr>
            </w:pPr>
            <w:r w:rsidRPr="008D26AB">
              <w:rPr>
                <w:lang w:val="en-US" w:eastAsia="ko-KR"/>
              </w:rPr>
              <w:t>UNDP</w:t>
            </w:r>
          </w:p>
        </w:tc>
        <w:tc>
          <w:tcPr>
            <w:tcW w:w="1984" w:type="dxa"/>
            <w:tcBorders>
              <w:top w:val="nil"/>
              <w:left w:val="nil"/>
              <w:bottom w:val="single" w:sz="4" w:space="0" w:color="auto"/>
              <w:right w:val="single" w:sz="4" w:space="0" w:color="auto"/>
            </w:tcBorders>
            <w:noWrap/>
            <w:hideMark/>
          </w:tcPr>
          <w:p w14:paraId="775E3C9D" w14:textId="77777777" w:rsidR="00690701" w:rsidRPr="008D26AB" w:rsidRDefault="00690701">
            <w:pPr>
              <w:pStyle w:val="TableText"/>
              <w:rPr>
                <w:lang w:val="en-US" w:eastAsia="ko-KR"/>
              </w:rPr>
            </w:pPr>
            <w:r w:rsidRPr="008D26AB">
              <w:rPr>
                <w:lang w:val="en-US" w:eastAsia="ko-KR"/>
              </w:rPr>
              <w:t>Finland</w:t>
            </w:r>
          </w:p>
        </w:tc>
        <w:tc>
          <w:tcPr>
            <w:tcW w:w="1701" w:type="dxa"/>
            <w:tcBorders>
              <w:top w:val="nil"/>
              <w:left w:val="nil"/>
              <w:bottom w:val="single" w:sz="4" w:space="0" w:color="auto"/>
              <w:right w:val="single" w:sz="4" w:space="0" w:color="auto"/>
            </w:tcBorders>
            <w:noWrap/>
            <w:hideMark/>
          </w:tcPr>
          <w:p w14:paraId="75484C0B"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719A2952" w14:textId="77777777" w:rsidR="00690701" w:rsidRPr="008D26AB" w:rsidRDefault="00690701">
            <w:pPr>
              <w:pStyle w:val="TableText"/>
              <w:jc w:val="right"/>
              <w:rPr>
                <w:lang w:val="en-US" w:eastAsia="ko-KR"/>
              </w:rPr>
            </w:pPr>
            <w:r w:rsidRPr="008D26AB">
              <w:rPr>
                <w:lang w:val="en-US" w:eastAsia="ko-KR"/>
              </w:rPr>
              <w:t xml:space="preserve">3,535,377 </w:t>
            </w:r>
          </w:p>
        </w:tc>
        <w:tc>
          <w:tcPr>
            <w:tcW w:w="2268" w:type="dxa"/>
            <w:tcBorders>
              <w:top w:val="nil"/>
              <w:left w:val="nil"/>
              <w:bottom w:val="single" w:sz="4" w:space="0" w:color="auto"/>
              <w:right w:val="single" w:sz="4" w:space="0" w:color="auto"/>
            </w:tcBorders>
            <w:noWrap/>
            <w:hideMark/>
          </w:tcPr>
          <w:p w14:paraId="42301B36" w14:textId="77777777" w:rsidR="00690701" w:rsidRPr="008D26AB" w:rsidRDefault="00690701">
            <w:pPr>
              <w:pStyle w:val="TableText"/>
              <w:jc w:val="right"/>
              <w:rPr>
                <w:lang w:val="en-US" w:eastAsia="ko-KR"/>
              </w:rPr>
            </w:pPr>
            <w:r w:rsidRPr="008D26AB">
              <w:rPr>
                <w:lang w:val="en-US" w:eastAsia="ko-KR"/>
              </w:rPr>
              <w:t xml:space="preserve">2,473,185 </w:t>
            </w:r>
          </w:p>
        </w:tc>
        <w:tc>
          <w:tcPr>
            <w:tcW w:w="2835" w:type="dxa"/>
            <w:tcBorders>
              <w:top w:val="nil"/>
              <w:left w:val="nil"/>
              <w:bottom w:val="single" w:sz="4" w:space="0" w:color="auto"/>
              <w:right w:val="single" w:sz="4" w:space="0" w:color="auto"/>
            </w:tcBorders>
            <w:noWrap/>
            <w:hideMark/>
          </w:tcPr>
          <w:p w14:paraId="4A90BA29"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679C6582"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70C24AEB" w14:textId="77777777" w:rsidR="00690701" w:rsidRPr="00D51140" w:rsidRDefault="00690701">
            <w:pPr>
              <w:pStyle w:val="TableText"/>
              <w:rPr>
                <w:b/>
                <w:bCs/>
                <w:lang w:val="en-US" w:eastAsia="ko-KR"/>
              </w:rPr>
            </w:pPr>
            <w:r w:rsidRPr="00D51140">
              <w:rPr>
                <w:b/>
                <w:bCs/>
                <w:lang w:val="en-US" w:eastAsia="ko-KR"/>
              </w:rPr>
              <w:t>Solomon Islands</w:t>
            </w:r>
          </w:p>
        </w:tc>
        <w:tc>
          <w:tcPr>
            <w:tcW w:w="1843" w:type="dxa"/>
            <w:tcBorders>
              <w:top w:val="nil"/>
              <w:left w:val="nil"/>
              <w:bottom w:val="single" w:sz="4" w:space="0" w:color="auto"/>
              <w:right w:val="single" w:sz="4" w:space="0" w:color="auto"/>
            </w:tcBorders>
            <w:noWrap/>
            <w:hideMark/>
          </w:tcPr>
          <w:p w14:paraId="68C114DA" w14:textId="77777777" w:rsidR="00690701" w:rsidRPr="008D26AB" w:rsidRDefault="00690701">
            <w:pPr>
              <w:pStyle w:val="TableText"/>
              <w:rPr>
                <w:lang w:val="en-US" w:eastAsia="ko-KR"/>
              </w:rPr>
            </w:pPr>
            <w:r w:rsidRPr="008D26AB">
              <w:rPr>
                <w:lang w:val="en-US" w:eastAsia="ko-KR"/>
              </w:rPr>
              <w:t>Mar 2024</w:t>
            </w:r>
          </w:p>
        </w:tc>
        <w:tc>
          <w:tcPr>
            <w:tcW w:w="1134" w:type="dxa"/>
            <w:tcBorders>
              <w:top w:val="nil"/>
              <w:left w:val="nil"/>
              <w:bottom w:val="single" w:sz="4" w:space="0" w:color="auto"/>
              <w:right w:val="single" w:sz="4" w:space="0" w:color="auto"/>
            </w:tcBorders>
            <w:noWrap/>
            <w:hideMark/>
          </w:tcPr>
          <w:p w14:paraId="5249D639" w14:textId="77777777" w:rsidR="00690701" w:rsidRPr="008D26AB" w:rsidRDefault="00690701">
            <w:pPr>
              <w:pStyle w:val="TableText"/>
              <w:rPr>
                <w:lang w:val="en-US" w:eastAsia="ko-KR"/>
              </w:rPr>
            </w:pPr>
            <w:r w:rsidRPr="008D26AB">
              <w:rPr>
                <w:lang w:val="en-US" w:eastAsia="ko-KR"/>
              </w:rPr>
              <w:t>UNDP</w:t>
            </w:r>
          </w:p>
        </w:tc>
        <w:tc>
          <w:tcPr>
            <w:tcW w:w="1984" w:type="dxa"/>
            <w:tcBorders>
              <w:top w:val="nil"/>
              <w:left w:val="nil"/>
              <w:bottom w:val="single" w:sz="4" w:space="0" w:color="auto"/>
              <w:right w:val="single" w:sz="4" w:space="0" w:color="auto"/>
            </w:tcBorders>
            <w:noWrap/>
            <w:hideMark/>
          </w:tcPr>
          <w:p w14:paraId="75AC192D" w14:textId="77777777" w:rsidR="00690701" w:rsidRPr="008D26AB" w:rsidRDefault="00690701">
            <w:pPr>
              <w:pStyle w:val="TableText"/>
              <w:rPr>
                <w:lang w:val="en-US" w:eastAsia="ko-KR"/>
              </w:rPr>
            </w:pPr>
            <w:r w:rsidRPr="008D26AB">
              <w:rPr>
                <w:lang w:val="en-US" w:eastAsia="ko-KR"/>
              </w:rPr>
              <w:t>Australia</w:t>
            </w:r>
          </w:p>
        </w:tc>
        <w:tc>
          <w:tcPr>
            <w:tcW w:w="1701" w:type="dxa"/>
            <w:tcBorders>
              <w:top w:val="nil"/>
              <w:left w:val="nil"/>
              <w:bottom w:val="single" w:sz="4" w:space="0" w:color="auto"/>
              <w:right w:val="single" w:sz="4" w:space="0" w:color="auto"/>
            </w:tcBorders>
            <w:noWrap/>
            <w:hideMark/>
          </w:tcPr>
          <w:p w14:paraId="664ED6B2"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798F5489" w14:textId="77777777" w:rsidR="00690701" w:rsidRPr="008D26AB" w:rsidRDefault="00690701">
            <w:pPr>
              <w:pStyle w:val="TableText"/>
              <w:jc w:val="right"/>
              <w:rPr>
                <w:lang w:val="en-US" w:eastAsia="ko-KR"/>
              </w:rPr>
            </w:pPr>
            <w:r w:rsidRPr="008D26AB">
              <w:rPr>
                <w:lang w:val="en-US" w:eastAsia="ko-KR"/>
              </w:rPr>
              <w:t xml:space="preserve">8,488,524 </w:t>
            </w:r>
          </w:p>
        </w:tc>
        <w:tc>
          <w:tcPr>
            <w:tcW w:w="2268" w:type="dxa"/>
            <w:tcBorders>
              <w:top w:val="nil"/>
              <w:left w:val="nil"/>
              <w:bottom w:val="single" w:sz="4" w:space="0" w:color="auto"/>
              <w:right w:val="single" w:sz="4" w:space="0" w:color="auto"/>
            </w:tcBorders>
            <w:noWrap/>
            <w:hideMark/>
          </w:tcPr>
          <w:p w14:paraId="0AAAFEDD" w14:textId="77777777" w:rsidR="00690701" w:rsidRPr="008D26AB" w:rsidRDefault="00690701">
            <w:pPr>
              <w:pStyle w:val="TableText"/>
              <w:jc w:val="right"/>
              <w:rPr>
                <w:lang w:val="en-US" w:eastAsia="ko-KR"/>
              </w:rPr>
            </w:pPr>
            <w:r w:rsidRPr="008D26AB">
              <w:rPr>
                <w:lang w:val="en-US" w:eastAsia="ko-KR"/>
              </w:rPr>
              <w:t xml:space="preserve">5,732,049 </w:t>
            </w:r>
          </w:p>
        </w:tc>
        <w:tc>
          <w:tcPr>
            <w:tcW w:w="2835" w:type="dxa"/>
            <w:tcBorders>
              <w:top w:val="nil"/>
              <w:left w:val="nil"/>
              <w:bottom w:val="single" w:sz="4" w:space="0" w:color="auto"/>
              <w:right w:val="single" w:sz="4" w:space="0" w:color="auto"/>
            </w:tcBorders>
            <w:noWrap/>
            <w:hideMark/>
          </w:tcPr>
          <w:p w14:paraId="5D0017C2"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616965B9"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75EF2BFA" w14:textId="77777777" w:rsidR="00690701" w:rsidRPr="00D51140" w:rsidRDefault="00690701">
            <w:pPr>
              <w:pStyle w:val="TableText"/>
              <w:rPr>
                <w:b/>
                <w:bCs/>
                <w:lang w:val="en-US" w:eastAsia="ko-KR"/>
              </w:rPr>
            </w:pPr>
            <w:r w:rsidRPr="00D51140">
              <w:rPr>
                <w:b/>
                <w:bCs/>
                <w:lang w:val="en-US" w:eastAsia="ko-KR"/>
              </w:rPr>
              <w:t>South Sudan</w:t>
            </w:r>
          </w:p>
        </w:tc>
        <w:tc>
          <w:tcPr>
            <w:tcW w:w="1843" w:type="dxa"/>
            <w:tcBorders>
              <w:top w:val="nil"/>
              <w:left w:val="nil"/>
              <w:bottom w:val="single" w:sz="4" w:space="0" w:color="auto"/>
              <w:right w:val="single" w:sz="4" w:space="0" w:color="auto"/>
            </w:tcBorders>
            <w:noWrap/>
            <w:hideMark/>
          </w:tcPr>
          <w:p w14:paraId="73770A68" w14:textId="77777777" w:rsidR="00690701" w:rsidRPr="009A4161" w:rsidRDefault="00690701">
            <w:pPr>
              <w:pStyle w:val="TableText"/>
              <w:rPr>
                <w:lang w:val="en-US" w:eastAsia="ko-KR"/>
              </w:rPr>
            </w:pPr>
            <w:r w:rsidRPr="009A4161">
              <w:rPr>
                <w:lang w:val="en-US" w:eastAsia="ko-KR"/>
              </w:rPr>
              <w:t>Nov 2023</w:t>
            </w:r>
          </w:p>
        </w:tc>
        <w:tc>
          <w:tcPr>
            <w:tcW w:w="1134" w:type="dxa"/>
            <w:tcBorders>
              <w:top w:val="nil"/>
              <w:left w:val="nil"/>
              <w:bottom w:val="single" w:sz="4" w:space="0" w:color="auto"/>
              <w:right w:val="single" w:sz="4" w:space="0" w:color="auto"/>
            </w:tcBorders>
            <w:noWrap/>
            <w:hideMark/>
          </w:tcPr>
          <w:p w14:paraId="38D729E6" w14:textId="44535A0F" w:rsidR="00690701" w:rsidRPr="009A4161" w:rsidRDefault="00B73A94">
            <w:pPr>
              <w:pStyle w:val="TableText"/>
              <w:rPr>
                <w:lang w:val="en-US" w:eastAsia="ko-KR"/>
              </w:rPr>
            </w:pPr>
            <w:r>
              <w:rPr>
                <w:lang w:val="en-US" w:eastAsia="ko-KR"/>
              </w:rPr>
              <w:t>FAO</w:t>
            </w:r>
          </w:p>
        </w:tc>
        <w:tc>
          <w:tcPr>
            <w:tcW w:w="1984" w:type="dxa"/>
            <w:tcBorders>
              <w:top w:val="nil"/>
              <w:left w:val="nil"/>
              <w:bottom w:val="single" w:sz="4" w:space="0" w:color="auto"/>
              <w:right w:val="single" w:sz="4" w:space="0" w:color="auto"/>
            </w:tcBorders>
            <w:noWrap/>
            <w:hideMark/>
          </w:tcPr>
          <w:p w14:paraId="316F289C" w14:textId="77777777" w:rsidR="00690701" w:rsidRPr="008D26AB" w:rsidRDefault="00690701">
            <w:pPr>
              <w:pStyle w:val="TableText"/>
              <w:rPr>
                <w:lang w:val="en-US" w:eastAsia="ko-KR"/>
              </w:rPr>
            </w:pPr>
            <w:r w:rsidRPr="008D26AB">
              <w:rPr>
                <w:lang w:val="en-US" w:eastAsia="ko-KR"/>
              </w:rPr>
              <w:t>Austria</w:t>
            </w:r>
          </w:p>
        </w:tc>
        <w:tc>
          <w:tcPr>
            <w:tcW w:w="1701" w:type="dxa"/>
            <w:tcBorders>
              <w:top w:val="nil"/>
              <w:left w:val="nil"/>
              <w:bottom w:val="single" w:sz="4" w:space="0" w:color="auto"/>
              <w:right w:val="single" w:sz="4" w:space="0" w:color="auto"/>
            </w:tcBorders>
            <w:noWrap/>
            <w:hideMark/>
          </w:tcPr>
          <w:p w14:paraId="1075AA2A"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0D0DB74C" w14:textId="77777777" w:rsidR="00690701" w:rsidRPr="008D26AB" w:rsidRDefault="00690701">
            <w:pPr>
              <w:pStyle w:val="TableText"/>
              <w:jc w:val="right"/>
              <w:rPr>
                <w:lang w:val="en-US" w:eastAsia="ko-KR"/>
              </w:rPr>
            </w:pPr>
            <w:r w:rsidRPr="008D26AB">
              <w:rPr>
                <w:lang w:val="en-US" w:eastAsia="ko-KR"/>
              </w:rPr>
              <w:t xml:space="preserve">2,480,496 </w:t>
            </w:r>
          </w:p>
        </w:tc>
        <w:tc>
          <w:tcPr>
            <w:tcW w:w="2268" w:type="dxa"/>
            <w:tcBorders>
              <w:top w:val="nil"/>
              <w:left w:val="nil"/>
              <w:bottom w:val="single" w:sz="4" w:space="0" w:color="auto"/>
              <w:right w:val="single" w:sz="4" w:space="0" w:color="auto"/>
            </w:tcBorders>
            <w:noWrap/>
            <w:hideMark/>
          </w:tcPr>
          <w:p w14:paraId="623D8E43" w14:textId="77777777" w:rsidR="00690701" w:rsidRPr="008D26AB" w:rsidRDefault="00690701">
            <w:pPr>
              <w:pStyle w:val="TableText"/>
              <w:jc w:val="right"/>
              <w:rPr>
                <w:lang w:val="en-US" w:eastAsia="ko-KR"/>
              </w:rPr>
            </w:pPr>
            <w:r w:rsidRPr="008D26AB">
              <w:rPr>
                <w:lang w:val="en-US" w:eastAsia="ko-KR"/>
              </w:rPr>
              <w:t> </w:t>
            </w:r>
          </w:p>
        </w:tc>
        <w:tc>
          <w:tcPr>
            <w:tcW w:w="2835" w:type="dxa"/>
            <w:tcBorders>
              <w:top w:val="nil"/>
              <w:left w:val="nil"/>
              <w:bottom w:val="single" w:sz="4" w:space="0" w:color="auto"/>
              <w:right w:val="single" w:sz="4" w:space="0" w:color="auto"/>
            </w:tcBorders>
            <w:noWrap/>
            <w:hideMark/>
          </w:tcPr>
          <w:p w14:paraId="6E878E42" w14:textId="67CF4ADD" w:rsidR="00690701" w:rsidRPr="008D26AB" w:rsidRDefault="00690701">
            <w:pPr>
              <w:pStyle w:val="TableText"/>
              <w:rPr>
                <w:lang w:val="en-US" w:eastAsia="ko-KR"/>
              </w:rPr>
            </w:pPr>
            <w:r>
              <w:rPr>
                <w:rFonts w:eastAsia="Malgun Gothic"/>
                <w:lang w:val="en-US" w:eastAsia="ko-KR"/>
              </w:rPr>
              <w:t>IE changed</w:t>
            </w:r>
            <w:r w:rsidR="00B73A94">
              <w:rPr>
                <w:rFonts w:eastAsia="Malgun Gothic"/>
                <w:lang w:val="en-US" w:eastAsia="ko-KR"/>
              </w:rPr>
              <w:t xml:space="preserve">, </w:t>
            </w:r>
            <w:r w:rsidR="002D40D9">
              <w:rPr>
                <w:rFonts w:eastAsia="Malgun Gothic"/>
                <w:lang w:val="en-US" w:eastAsia="ko-KR"/>
              </w:rPr>
              <w:t>P</w:t>
            </w:r>
            <w:r w:rsidR="007774AF">
              <w:rPr>
                <w:rFonts w:eastAsia="Malgun Gothic"/>
                <w:lang w:val="en-US" w:eastAsia="ko-KR"/>
              </w:rPr>
              <w:t xml:space="preserve">ending </w:t>
            </w:r>
            <w:r w:rsidR="002D40D9">
              <w:rPr>
                <w:rFonts w:eastAsia="Malgun Gothic"/>
                <w:lang w:val="en-US" w:eastAsia="ko-KR"/>
              </w:rPr>
              <w:t xml:space="preserve">resubmission </w:t>
            </w:r>
          </w:p>
        </w:tc>
      </w:tr>
      <w:tr w:rsidR="00690701" w:rsidRPr="008D26AB" w14:paraId="72F90AF1" w14:textId="77777777" w:rsidTr="00862D65">
        <w:trPr>
          <w:trHeight w:val="320"/>
        </w:trPr>
        <w:tc>
          <w:tcPr>
            <w:tcW w:w="3681" w:type="dxa"/>
            <w:tcBorders>
              <w:top w:val="nil"/>
              <w:left w:val="single" w:sz="4" w:space="0" w:color="auto"/>
              <w:bottom w:val="single" w:sz="4" w:space="0" w:color="auto"/>
              <w:right w:val="single" w:sz="4" w:space="0" w:color="auto"/>
            </w:tcBorders>
            <w:noWrap/>
            <w:hideMark/>
          </w:tcPr>
          <w:p w14:paraId="23704BD7" w14:textId="77777777" w:rsidR="00690701" w:rsidRPr="00D51140" w:rsidRDefault="00690701">
            <w:pPr>
              <w:pStyle w:val="TableText"/>
              <w:rPr>
                <w:b/>
                <w:bCs/>
                <w:lang w:val="en-US" w:eastAsia="ko-KR"/>
              </w:rPr>
            </w:pPr>
            <w:r w:rsidRPr="00D51140">
              <w:rPr>
                <w:rFonts w:eastAsia="Malgun Gothic" w:hint="eastAsia"/>
                <w:b/>
                <w:bCs/>
                <w:lang w:val="en-US" w:eastAsia="ko-KR"/>
              </w:rPr>
              <w:t xml:space="preserve">United Republic of </w:t>
            </w:r>
            <w:r w:rsidRPr="00D51140">
              <w:rPr>
                <w:b/>
                <w:bCs/>
                <w:lang w:val="en-US" w:eastAsia="ko-KR"/>
              </w:rPr>
              <w:t>Tanzania</w:t>
            </w:r>
          </w:p>
        </w:tc>
        <w:tc>
          <w:tcPr>
            <w:tcW w:w="1843" w:type="dxa"/>
            <w:tcBorders>
              <w:top w:val="nil"/>
              <w:left w:val="nil"/>
              <w:bottom w:val="single" w:sz="4" w:space="0" w:color="auto"/>
              <w:right w:val="single" w:sz="4" w:space="0" w:color="auto"/>
            </w:tcBorders>
            <w:noWrap/>
            <w:hideMark/>
          </w:tcPr>
          <w:p w14:paraId="261A4495" w14:textId="77777777" w:rsidR="00690701" w:rsidRPr="008D26AB" w:rsidRDefault="00690701">
            <w:pPr>
              <w:pStyle w:val="TableText"/>
              <w:rPr>
                <w:lang w:val="en-US" w:eastAsia="ko-KR"/>
              </w:rPr>
            </w:pPr>
            <w:r w:rsidRPr="008D26AB">
              <w:rPr>
                <w:lang w:val="en-US" w:eastAsia="ko-KR"/>
              </w:rPr>
              <w:t>Mar 2024</w:t>
            </w:r>
          </w:p>
        </w:tc>
        <w:tc>
          <w:tcPr>
            <w:tcW w:w="1134" w:type="dxa"/>
            <w:tcBorders>
              <w:top w:val="nil"/>
              <w:left w:val="nil"/>
              <w:bottom w:val="single" w:sz="4" w:space="0" w:color="auto"/>
              <w:right w:val="single" w:sz="4" w:space="0" w:color="auto"/>
            </w:tcBorders>
            <w:noWrap/>
            <w:hideMark/>
          </w:tcPr>
          <w:p w14:paraId="58C5DAEC" w14:textId="77777777" w:rsidR="00690701" w:rsidRPr="008D26AB" w:rsidRDefault="00690701">
            <w:pPr>
              <w:pStyle w:val="TableText"/>
              <w:rPr>
                <w:lang w:val="en-US" w:eastAsia="ko-KR"/>
              </w:rPr>
            </w:pPr>
            <w:r w:rsidRPr="008D26AB">
              <w:rPr>
                <w:lang w:val="en-US" w:eastAsia="ko-KR"/>
              </w:rPr>
              <w:t>UNDP</w:t>
            </w:r>
          </w:p>
        </w:tc>
        <w:tc>
          <w:tcPr>
            <w:tcW w:w="1984" w:type="dxa"/>
            <w:tcBorders>
              <w:top w:val="nil"/>
              <w:left w:val="nil"/>
              <w:bottom w:val="single" w:sz="4" w:space="0" w:color="auto"/>
              <w:right w:val="single" w:sz="4" w:space="0" w:color="auto"/>
            </w:tcBorders>
            <w:noWrap/>
            <w:hideMark/>
          </w:tcPr>
          <w:p w14:paraId="396C84EC" w14:textId="77777777" w:rsidR="00690701" w:rsidRPr="008D26AB" w:rsidRDefault="00690701">
            <w:pPr>
              <w:pStyle w:val="TableText"/>
              <w:rPr>
                <w:lang w:val="en-US" w:eastAsia="ko-KR"/>
              </w:rPr>
            </w:pPr>
            <w:r w:rsidRPr="008D26AB">
              <w:rPr>
                <w:lang w:val="en-US" w:eastAsia="ko-KR"/>
              </w:rPr>
              <w:t>Denmark</w:t>
            </w:r>
          </w:p>
        </w:tc>
        <w:tc>
          <w:tcPr>
            <w:tcW w:w="1701" w:type="dxa"/>
            <w:tcBorders>
              <w:top w:val="nil"/>
              <w:left w:val="nil"/>
              <w:bottom w:val="single" w:sz="4" w:space="0" w:color="auto"/>
              <w:right w:val="single" w:sz="4" w:space="0" w:color="auto"/>
            </w:tcBorders>
            <w:noWrap/>
            <w:hideMark/>
          </w:tcPr>
          <w:p w14:paraId="13342EE0" w14:textId="77777777" w:rsidR="00690701" w:rsidRPr="008D26AB" w:rsidRDefault="00690701">
            <w:pPr>
              <w:pStyle w:val="TableText"/>
              <w:rPr>
                <w:lang w:val="en-US" w:eastAsia="ko-KR"/>
              </w:rPr>
            </w:pPr>
            <w:r w:rsidRPr="008D26AB">
              <w:rPr>
                <w:lang w:val="en-US" w:eastAsia="ko-KR"/>
              </w:rPr>
              <w:t> </w:t>
            </w:r>
          </w:p>
        </w:tc>
        <w:tc>
          <w:tcPr>
            <w:tcW w:w="2268" w:type="dxa"/>
            <w:tcBorders>
              <w:top w:val="nil"/>
              <w:left w:val="nil"/>
              <w:bottom w:val="single" w:sz="4" w:space="0" w:color="auto"/>
              <w:right w:val="single" w:sz="4" w:space="0" w:color="auto"/>
            </w:tcBorders>
            <w:noWrap/>
            <w:hideMark/>
          </w:tcPr>
          <w:p w14:paraId="53F6F262" w14:textId="77777777" w:rsidR="00690701" w:rsidRPr="008D26AB" w:rsidRDefault="00690701">
            <w:pPr>
              <w:pStyle w:val="TableText"/>
              <w:jc w:val="right"/>
              <w:rPr>
                <w:lang w:val="en-US" w:eastAsia="ko-KR"/>
              </w:rPr>
            </w:pPr>
            <w:r w:rsidRPr="008D26AB">
              <w:rPr>
                <w:lang w:val="en-US" w:eastAsia="ko-KR"/>
              </w:rPr>
              <w:t xml:space="preserve">9,067,504 </w:t>
            </w:r>
          </w:p>
        </w:tc>
        <w:tc>
          <w:tcPr>
            <w:tcW w:w="2268" w:type="dxa"/>
            <w:tcBorders>
              <w:top w:val="nil"/>
              <w:left w:val="nil"/>
              <w:bottom w:val="single" w:sz="4" w:space="0" w:color="auto"/>
              <w:right w:val="single" w:sz="4" w:space="0" w:color="auto"/>
            </w:tcBorders>
            <w:noWrap/>
            <w:hideMark/>
          </w:tcPr>
          <w:p w14:paraId="43BD7D7B" w14:textId="77777777" w:rsidR="00690701" w:rsidRPr="008D26AB" w:rsidRDefault="00690701">
            <w:pPr>
              <w:pStyle w:val="TableText"/>
              <w:jc w:val="right"/>
              <w:rPr>
                <w:lang w:val="en-US" w:eastAsia="ko-KR"/>
              </w:rPr>
            </w:pPr>
            <w:r w:rsidRPr="008D26AB">
              <w:rPr>
                <w:lang w:val="en-US" w:eastAsia="ko-KR"/>
              </w:rPr>
              <w:t xml:space="preserve">5,272,437 </w:t>
            </w:r>
          </w:p>
        </w:tc>
        <w:tc>
          <w:tcPr>
            <w:tcW w:w="2835" w:type="dxa"/>
            <w:tcBorders>
              <w:top w:val="nil"/>
              <w:left w:val="nil"/>
              <w:bottom w:val="single" w:sz="4" w:space="0" w:color="auto"/>
              <w:right w:val="single" w:sz="4" w:space="0" w:color="auto"/>
            </w:tcBorders>
            <w:noWrap/>
            <w:hideMark/>
          </w:tcPr>
          <w:p w14:paraId="5783B664" w14:textId="77777777" w:rsidR="00690701" w:rsidRPr="008D26AB" w:rsidRDefault="00690701">
            <w:pPr>
              <w:pStyle w:val="TableText"/>
              <w:rPr>
                <w:lang w:val="en-US" w:eastAsia="ko-KR"/>
              </w:rPr>
            </w:pPr>
            <w:r w:rsidRPr="008D26AB">
              <w:rPr>
                <w:lang w:val="en-US" w:eastAsia="ko-KR"/>
              </w:rPr>
              <w:t>Under implementation</w:t>
            </w:r>
          </w:p>
        </w:tc>
      </w:tr>
      <w:tr w:rsidR="00690701" w:rsidRPr="008D26AB" w14:paraId="009B653B" w14:textId="77777777" w:rsidTr="00862D65">
        <w:trPr>
          <w:trHeight w:val="320"/>
        </w:trPr>
        <w:tc>
          <w:tcPr>
            <w:tcW w:w="3681" w:type="dxa"/>
            <w:tcBorders>
              <w:top w:val="nil"/>
              <w:left w:val="single" w:sz="4" w:space="0" w:color="auto"/>
              <w:bottom w:val="single" w:sz="4" w:space="0" w:color="auto"/>
              <w:right w:val="single" w:sz="4" w:space="0" w:color="auto"/>
            </w:tcBorders>
            <w:noWrap/>
          </w:tcPr>
          <w:p w14:paraId="5725BFFA" w14:textId="77777777" w:rsidR="00690701" w:rsidRPr="00D51140" w:rsidRDefault="00690701">
            <w:pPr>
              <w:pStyle w:val="TableText"/>
              <w:rPr>
                <w:rFonts w:eastAsia="Malgun Gothic"/>
                <w:b/>
                <w:bCs/>
                <w:lang w:val="en-US" w:eastAsia="ko-KR"/>
              </w:rPr>
            </w:pPr>
            <w:r w:rsidRPr="00D51140">
              <w:rPr>
                <w:rFonts w:eastAsia="Malgun Gothic"/>
                <w:b/>
                <w:bCs/>
                <w:lang w:val="en-US" w:eastAsia="ko-KR"/>
              </w:rPr>
              <w:t>Timor-Leste</w:t>
            </w:r>
          </w:p>
        </w:tc>
        <w:tc>
          <w:tcPr>
            <w:tcW w:w="1843" w:type="dxa"/>
            <w:tcBorders>
              <w:top w:val="nil"/>
              <w:left w:val="nil"/>
              <w:bottom w:val="single" w:sz="4" w:space="0" w:color="auto"/>
              <w:right w:val="single" w:sz="4" w:space="0" w:color="auto"/>
            </w:tcBorders>
            <w:noWrap/>
          </w:tcPr>
          <w:p w14:paraId="5E42C08C" w14:textId="77777777" w:rsidR="00690701" w:rsidRPr="008D26AB" w:rsidRDefault="00690701">
            <w:pPr>
              <w:pStyle w:val="TableText"/>
              <w:rPr>
                <w:lang w:val="en-US" w:eastAsia="ko-KR"/>
              </w:rPr>
            </w:pPr>
            <w:r>
              <w:rPr>
                <w:lang w:val="en-US" w:eastAsia="ko-KR"/>
              </w:rPr>
              <w:t>Feb 2025</w:t>
            </w:r>
          </w:p>
        </w:tc>
        <w:tc>
          <w:tcPr>
            <w:tcW w:w="1134" w:type="dxa"/>
            <w:tcBorders>
              <w:top w:val="nil"/>
              <w:left w:val="nil"/>
              <w:bottom w:val="single" w:sz="4" w:space="0" w:color="auto"/>
              <w:right w:val="single" w:sz="4" w:space="0" w:color="auto"/>
            </w:tcBorders>
            <w:noWrap/>
          </w:tcPr>
          <w:p w14:paraId="41E195D3" w14:textId="77777777" w:rsidR="00690701" w:rsidRPr="008D26AB" w:rsidRDefault="00690701">
            <w:pPr>
              <w:pStyle w:val="TableText"/>
              <w:rPr>
                <w:lang w:val="en-US" w:eastAsia="ko-KR"/>
              </w:rPr>
            </w:pPr>
            <w:r>
              <w:rPr>
                <w:lang w:val="en-US" w:eastAsia="ko-KR"/>
              </w:rPr>
              <w:t>UNEP</w:t>
            </w:r>
          </w:p>
        </w:tc>
        <w:tc>
          <w:tcPr>
            <w:tcW w:w="1984" w:type="dxa"/>
            <w:tcBorders>
              <w:top w:val="nil"/>
              <w:left w:val="nil"/>
              <w:bottom w:val="single" w:sz="4" w:space="0" w:color="auto"/>
              <w:right w:val="single" w:sz="4" w:space="0" w:color="auto"/>
            </w:tcBorders>
            <w:noWrap/>
          </w:tcPr>
          <w:p w14:paraId="063D86C3" w14:textId="77777777" w:rsidR="00690701" w:rsidRPr="008D26AB" w:rsidRDefault="00690701">
            <w:pPr>
              <w:pStyle w:val="TableText"/>
              <w:rPr>
                <w:lang w:val="en-US" w:eastAsia="ko-KR"/>
              </w:rPr>
            </w:pPr>
            <w:r>
              <w:rPr>
                <w:lang w:val="en-US" w:eastAsia="ko-KR"/>
              </w:rPr>
              <w:t>Finland</w:t>
            </w:r>
          </w:p>
        </w:tc>
        <w:tc>
          <w:tcPr>
            <w:tcW w:w="1701" w:type="dxa"/>
            <w:tcBorders>
              <w:top w:val="nil"/>
              <w:left w:val="nil"/>
              <w:bottom w:val="single" w:sz="4" w:space="0" w:color="auto"/>
              <w:right w:val="single" w:sz="4" w:space="0" w:color="auto"/>
            </w:tcBorders>
            <w:noWrap/>
          </w:tcPr>
          <w:p w14:paraId="0167A8C8" w14:textId="77777777" w:rsidR="00690701" w:rsidRPr="008D26AB" w:rsidRDefault="00690701">
            <w:pPr>
              <w:pStyle w:val="TableText"/>
              <w:rPr>
                <w:lang w:val="en-US" w:eastAsia="ko-KR"/>
              </w:rPr>
            </w:pPr>
          </w:p>
        </w:tc>
        <w:tc>
          <w:tcPr>
            <w:tcW w:w="2268" w:type="dxa"/>
            <w:tcBorders>
              <w:top w:val="nil"/>
              <w:left w:val="nil"/>
              <w:bottom w:val="single" w:sz="4" w:space="0" w:color="auto"/>
              <w:right w:val="single" w:sz="4" w:space="0" w:color="auto"/>
            </w:tcBorders>
            <w:noWrap/>
          </w:tcPr>
          <w:p w14:paraId="00C2AE24" w14:textId="77777777" w:rsidR="00690701" w:rsidRPr="008D26AB" w:rsidRDefault="00690701">
            <w:pPr>
              <w:pStyle w:val="TableText"/>
              <w:jc w:val="right"/>
              <w:rPr>
                <w:lang w:val="en-US" w:eastAsia="ko-KR"/>
              </w:rPr>
            </w:pPr>
            <w:r w:rsidRPr="007E691F">
              <w:rPr>
                <w:lang w:val="en-US" w:eastAsia="ko-KR"/>
              </w:rPr>
              <w:t>5,756,742.31</w:t>
            </w:r>
          </w:p>
        </w:tc>
        <w:tc>
          <w:tcPr>
            <w:tcW w:w="2268" w:type="dxa"/>
            <w:tcBorders>
              <w:top w:val="nil"/>
              <w:left w:val="nil"/>
              <w:bottom w:val="single" w:sz="4" w:space="0" w:color="auto"/>
              <w:right w:val="single" w:sz="4" w:space="0" w:color="auto"/>
            </w:tcBorders>
            <w:noWrap/>
          </w:tcPr>
          <w:p w14:paraId="479F585F" w14:textId="77777777" w:rsidR="00690701" w:rsidRPr="008D26AB" w:rsidRDefault="00690701">
            <w:pPr>
              <w:pStyle w:val="TableText"/>
              <w:jc w:val="right"/>
              <w:rPr>
                <w:lang w:val="en-US" w:eastAsia="ko-KR"/>
              </w:rPr>
            </w:pPr>
            <w:r w:rsidRPr="0083214B">
              <w:rPr>
                <w:lang w:val="en-US" w:eastAsia="ko-KR"/>
              </w:rPr>
              <w:t>4,958,893.26</w:t>
            </w:r>
          </w:p>
        </w:tc>
        <w:tc>
          <w:tcPr>
            <w:tcW w:w="2835" w:type="dxa"/>
            <w:tcBorders>
              <w:top w:val="nil"/>
              <w:left w:val="nil"/>
              <w:bottom w:val="single" w:sz="4" w:space="0" w:color="auto"/>
              <w:right w:val="single" w:sz="4" w:space="0" w:color="auto"/>
            </w:tcBorders>
            <w:noWrap/>
          </w:tcPr>
          <w:p w14:paraId="470E09D1" w14:textId="77777777" w:rsidR="00690701" w:rsidRPr="008D26AB" w:rsidRDefault="00690701">
            <w:pPr>
              <w:pStyle w:val="TableText"/>
              <w:rPr>
                <w:lang w:val="en-US" w:eastAsia="ko-KR"/>
              </w:rPr>
            </w:pPr>
            <w:r>
              <w:rPr>
                <w:lang w:val="en-US" w:eastAsia="ko-KR"/>
              </w:rPr>
              <w:t>Under implementation</w:t>
            </w:r>
          </w:p>
        </w:tc>
      </w:tr>
      <w:tr w:rsidR="00690701" w:rsidRPr="008D26AB" w14:paraId="5ED44989" w14:textId="77777777" w:rsidTr="00862D65">
        <w:trPr>
          <w:trHeight w:val="320"/>
        </w:trPr>
        <w:tc>
          <w:tcPr>
            <w:tcW w:w="3681" w:type="dxa"/>
            <w:tcBorders>
              <w:top w:val="single" w:sz="4" w:space="0" w:color="auto"/>
              <w:left w:val="single" w:sz="4" w:space="0" w:color="auto"/>
              <w:bottom w:val="single" w:sz="4" w:space="0" w:color="auto"/>
              <w:right w:val="single" w:sz="4" w:space="0" w:color="auto"/>
            </w:tcBorders>
            <w:noWrap/>
            <w:hideMark/>
          </w:tcPr>
          <w:p w14:paraId="648734CA" w14:textId="77777777" w:rsidR="00690701" w:rsidRPr="00D51140" w:rsidRDefault="00690701">
            <w:pPr>
              <w:pStyle w:val="TableText"/>
              <w:rPr>
                <w:b/>
                <w:bCs/>
                <w:lang w:val="en-US" w:eastAsia="ko-KR"/>
              </w:rPr>
            </w:pPr>
            <w:r w:rsidRPr="00D51140">
              <w:rPr>
                <w:b/>
                <w:bCs/>
                <w:lang w:val="en-US" w:eastAsia="ko-KR"/>
              </w:rPr>
              <w:t>Uganda</w:t>
            </w:r>
          </w:p>
        </w:tc>
        <w:tc>
          <w:tcPr>
            <w:tcW w:w="1843" w:type="dxa"/>
            <w:tcBorders>
              <w:top w:val="single" w:sz="4" w:space="0" w:color="auto"/>
              <w:left w:val="nil"/>
              <w:bottom w:val="single" w:sz="4" w:space="0" w:color="auto"/>
              <w:right w:val="single" w:sz="4" w:space="0" w:color="auto"/>
            </w:tcBorders>
            <w:noWrap/>
            <w:hideMark/>
          </w:tcPr>
          <w:p w14:paraId="3201179B" w14:textId="77777777" w:rsidR="00690701" w:rsidRPr="008D26AB" w:rsidRDefault="00690701">
            <w:pPr>
              <w:pStyle w:val="TableText"/>
              <w:rPr>
                <w:lang w:val="en-US" w:eastAsia="ko-KR"/>
              </w:rPr>
            </w:pPr>
            <w:r w:rsidRPr="008D26AB">
              <w:rPr>
                <w:lang w:val="en-US" w:eastAsia="ko-KR"/>
              </w:rPr>
              <w:t>Jun 2024</w:t>
            </w:r>
          </w:p>
        </w:tc>
        <w:tc>
          <w:tcPr>
            <w:tcW w:w="1134" w:type="dxa"/>
            <w:tcBorders>
              <w:top w:val="single" w:sz="4" w:space="0" w:color="auto"/>
              <w:left w:val="nil"/>
              <w:bottom w:val="single" w:sz="4" w:space="0" w:color="auto"/>
              <w:right w:val="single" w:sz="4" w:space="0" w:color="auto"/>
            </w:tcBorders>
            <w:noWrap/>
            <w:hideMark/>
          </w:tcPr>
          <w:p w14:paraId="6EF35BAA" w14:textId="77777777" w:rsidR="00690701" w:rsidRPr="008D26AB" w:rsidRDefault="00690701">
            <w:pPr>
              <w:pStyle w:val="TableText"/>
              <w:rPr>
                <w:lang w:val="en-US" w:eastAsia="ko-KR"/>
              </w:rPr>
            </w:pPr>
            <w:r w:rsidRPr="008D26AB">
              <w:rPr>
                <w:lang w:val="en-US" w:eastAsia="ko-KR"/>
              </w:rPr>
              <w:t>IsDB</w:t>
            </w:r>
          </w:p>
        </w:tc>
        <w:tc>
          <w:tcPr>
            <w:tcW w:w="1984" w:type="dxa"/>
            <w:tcBorders>
              <w:top w:val="single" w:sz="4" w:space="0" w:color="auto"/>
              <w:left w:val="nil"/>
              <w:bottom w:val="single" w:sz="4" w:space="0" w:color="auto"/>
              <w:right w:val="single" w:sz="4" w:space="0" w:color="auto"/>
            </w:tcBorders>
            <w:noWrap/>
            <w:hideMark/>
          </w:tcPr>
          <w:p w14:paraId="0910781B" w14:textId="77777777" w:rsidR="00690701" w:rsidRPr="008D26AB" w:rsidRDefault="00690701">
            <w:pPr>
              <w:pStyle w:val="TableText"/>
              <w:rPr>
                <w:lang w:val="en-US" w:eastAsia="ko-KR"/>
              </w:rPr>
            </w:pPr>
            <w:r w:rsidRPr="008D26AB">
              <w:rPr>
                <w:lang w:val="en-US" w:eastAsia="ko-KR"/>
              </w:rPr>
              <w:t>Netherlands</w:t>
            </w:r>
          </w:p>
        </w:tc>
        <w:tc>
          <w:tcPr>
            <w:tcW w:w="1701" w:type="dxa"/>
            <w:tcBorders>
              <w:top w:val="single" w:sz="4" w:space="0" w:color="auto"/>
              <w:left w:val="nil"/>
              <w:bottom w:val="single" w:sz="4" w:space="0" w:color="auto"/>
              <w:right w:val="single" w:sz="4" w:space="0" w:color="auto"/>
            </w:tcBorders>
            <w:noWrap/>
            <w:hideMark/>
          </w:tcPr>
          <w:p w14:paraId="57DC5449" w14:textId="77777777" w:rsidR="00690701" w:rsidRPr="008D26AB" w:rsidRDefault="00690701">
            <w:pPr>
              <w:pStyle w:val="TableText"/>
              <w:rPr>
                <w:lang w:val="en-US" w:eastAsia="ko-KR"/>
              </w:rPr>
            </w:pPr>
            <w:r w:rsidRPr="008D26AB">
              <w:rPr>
                <w:lang w:val="en-US" w:eastAsia="ko-KR"/>
              </w:rPr>
              <w:t> </w:t>
            </w:r>
          </w:p>
        </w:tc>
        <w:tc>
          <w:tcPr>
            <w:tcW w:w="2268" w:type="dxa"/>
            <w:tcBorders>
              <w:top w:val="single" w:sz="4" w:space="0" w:color="auto"/>
              <w:left w:val="nil"/>
              <w:bottom w:val="single" w:sz="4" w:space="0" w:color="auto"/>
              <w:right w:val="single" w:sz="4" w:space="0" w:color="auto"/>
            </w:tcBorders>
            <w:noWrap/>
            <w:hideMark/>
          </w:tcPr>
          <w:p w14:paraId="3A9A625D" w14:textId="77777777" w:rsidR="00690701" w:rsidRPr="008D26AB" w:rsidRDefault="00690701">
            <w:pPr>
              <w:pStyle w:val="TableText"/>
              <w:jc w:val="right"/>
              <w:rPr>
                <w:lang w:val="en-US" w:eastAsia="ko-KR"/>
              </w:rPr>
            </w:pPr>
            <w:r w:rsidRPr="008D26AB">
              <w:rPr>
                <w:lang w:val="en-US" w:eastAsia="ko-KR"/>
              </w:rPr>
              <w:t xml:space="preserve">6,316,536 </w:t>
            </w:r>
          </w:p>
        </w:tc>
        <w:tc>
          <w:tcPr>
            <w:tcW w:w="2268" w:type="dxa"/>
            <w:tcBorders>
              <w:top w:val="single" w:sz="4" w:space="0" w:color="auto"/>
              <w:left w:val="nil"/>
              <w:bottom w:val="single" w:sz="4" w:space="0" w:color="auto"/>
              <w:right w:val="single" w:sz="4" w:space="0" w:color="auto"/>
            </w:tcBorders>
            <w:noWrap/>
            <w:hideMark/>
          </w:tcPr>
          <w:p w14:paraId="4FBC6E90" w14:textId="77777777" w:rsidR="00690701" w:rsidRPr="008D26AB" w:rsidRDefault="00690701">
            <w:pPr>
              <w:pStyle w:val="TableText"/>
              <w:jc w:val="right"/>
              <w:rPr>
                <w:lang w:val="en-US" w:eastAsia="ko-KR"/>
              </w:rPr>
            </w:pPr>
            <w:r w:rsidRPr="00244324">
              <w:rPr>
                <w:lang w:val="en-US" w:eastAsia="ko-KR"/>
              </w:rPr>
              <w:t>4,217,543</w:t>
            </w:r>
            <w:r w:rsidRPr="008D26AB">
              <w:rPr>
                <w:lang w:val="en-US" w:eastAsia="ko-KR"/>
              </w:rPr>
              <w:t> </w:t>
            </w:r>
          </w:p>
        </w:tc>
        <w:tc>
          <w:tcPr>
            <w:tcW w:w="2835" w:type="dxa"/>
            <w:tcBorders>
              <w:top w:val="single" w:sz="4" w:space="0" w:color="auto"/>
              <w:left w:val="nil"/>
              <w:bottom w:val="single" w:sz="4" w:space="0" w:color="auto"/>
              <w:right w:val="single" w:sz="4" w:space="0" w:color="auto"/>
            </w:tcBorders>
            <w:noWrap/>
            <w:hideMark/>
          </w:tcPr>
          <w:p w14:paraId="0AEA6FEB" w14:textId="77777777" w:rsidR="00690701" w:rsidRPr="008D26AB" w:rsidRDefault="00690701">
            <w:pPr>
              <w:pStyle w:val="TableText"/>
              <w:rPr>
                <w:lang w:val="en-US" w:eastAsia="ko-KR"/>
              </w:rPr>
            </w:pPr>
            <w:r>
              <w:rPr>
                <w:rFonts w:eastAsia="Malgun Gothic"/>
                <w:lang w:val="en-US" w:eastAsia="ko-KR"/>
              </w:rPr>
              <w:t>Under implementation</w:t>
            </w:r>
          </w:p>
        </w:tc>
      </w:tr>
      <w:tr w:rsidR="00690701" w:rsidRPr="008D26AB" w14:paraId="3D1B59F2" w14:textId="77777777">
        <w:trPr>
          <w:trHeight w:val="320"/>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115EB55" w14:textId="77777777" w:rsidR="00690701" w:rsidRPr="008D26AB" w:rsidRDefault="00690701">
            <w:pPr>
              <w:spacing w:before="60" w:after="60" w:line="240" w:lineRule="auto"/>
              <w:jc w:val="left"/>
              <w:rPr>
                <w:rFonts w:eastAsia="Times New Roman" w:cs="Open Sans"/>
                <w:color w:val="000000"/>
                <w:kern w:val="0"/>
                <w:sz w:val="20"/>
                <w:szCs w:val="20"/>
                <w:lang w:val="en-US" w:eastAsia="ko-K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0F1D833" w14:textId="77777777" w:rsidR="00690701" w:rsidRPr="008D26AB" w:rsidRDefault="00690701">
            <w:pPr>
              <w:spacing w:before="60" w:after="60" w:line="240" w:lineRule="auto"/>
              <w:jc w:val="left"/>
              <w:rPr>
                <w:rFonts w:eastAsia="Times New Roman" w:cs="Open Sans"/>
                <w:kern w:val="0"/>
                <w:sz w:val="20"/>
                <w:szCs w:val="20"/>
                <w:lang w:val="en-US" w:eastAsia="ko-KR"/>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8FFD879" w14:textId="77777777" w:rsidR="00690701" w:rsidRPr="008D26AB" w:rsidRDefault="00690701">
            <w:pPr>
              <w:spacing w:before="60" w:after="60" w:line="240" w:lineRule="auto"/>
              <w:jc w:val="left"/>
              <w:rPr>
                <w:rFonts w:eastAsia="Times New Roman" w:cs="Open Sans"/>
                <w:kern w:val="0"/>
                <w:sz w:val="20"/>
                <w:szCs w:val="20"/>
                <w:lang w:val="en-US" w:eastAsia="ko-KR"/>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20596B" w14:textId="77777777" w:rsidR="00690701" w:rsidRPr="008D26AB" w:rsidRDefault="00690701">
            <w:pPr>
              <w:spacing w:before="60" w:after="60" w:line="240" w:lineRule="auto"/>
              <w:jc w:val="left"/>
              <w:rPr>
                <w:rFonts w:eastAsia="Times New Roman" w:cs="Open Sans"/>
                <w:kern w:val="0"/>
                <w:sz w:val="20"/>
                <w:szCs w:val="20"/>
                <w:lang w:val="en-US" w:eastAsia="ko-KR"/>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13584E" w14:textId="77777777" w:rsidR="00690701" w:rsidRPr="008D26AB" w:rsidRDefault="00690701">
            <w:pPr>
              <w:spacing w:before="60" w:after="60" w:line="240" w:lineRule="auto"/>
              <w:jc w:val="right"/>
              <w:rPr>
                <w:rFonts w:eastAsia="Times New Roman" w:cs="Open Sans"/>
                <w:b/>
                <w:kern w:val="0"/>
                <w:sz w:val="20"/>
                <w:szCs w:val="20"/>
                <w:lang w:val="en-US" w:eastAsia="ko-KR"/>
                <w14:ligatures w14:val="none"/>
              </w:rPr>
            </w:pPr>
            <w:r w:rsidRPr="008D26AB">
              <w:rPr>
                <w:rFonts w:eastAsia="Times New Roman" w:cs="Open Sans"/>
                <w:b/>
                <w:kern w:val="0"/>
                <w:sz w:val="20"/>
                <w:szCs w:val="20"/>
                <w:lang w:val="en-US" w:eastAsia="ko-KR"/>
                <w14:ligatures w14:val="none"/>
              </w:rPr>
              <w:t>Total</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2F7AAE" w14:textId="77777777" w:rsidR="00690701" w:rsidRPr="008D26AB" w:rsidRDefault="00690701">
            <w:pPr>
              <w:spacing w:before="60" w:after="60" w:line="240" w:lineRule="auto"/>
              <w:jc w:val="right"/>
              <w:rPr>
                <w:rFonts w:eastAsia="Times New Roman" w:cs="Open Sans"/>
                <w:b/>
                <w:color w:val="000000"/>
                <w:kern w:val="0"/>
                <w:sz w:val="20"/>
                <w:szCs w:val="20"/>
                <w:lang w:val="en-US" w:eastAsia="ko-KR"/>
                <w14:ligatures w14:val="none"/>
              </w:rPr>
            </w:pPr>
            <w:r w:rsidRPr="00E76A44">
              <w:rPr>
                <w:rFonts w:eastAsia="Malgun Gothic" w:cs="Open Sans"/>
                <w:b/>
                <w:color w:val="000000"/>
                <w:kern w:val="0"/>
                <w:sz w:val="20"/>
                <w:szCs w:val="20"/>
                <w:lang w:val="en-US" w:eastAsia="ko-KR"/>
                <w14:ligatures w14:val="none"/>
              </w:rPr>
              <w:t>90</w:t>
            </w:r>
            <w:r>
              <w:rPr>
                <w:rFonts w:eastAsia="Malgun Gothic" w:cs="Open Sans"/>
                <w:b/>
                <w:color w:val="000000"/>
                <w:kern w:val="0"/>
                <w:sz w:val="20"/>
                <w:szCs w:val="20"/>
                <w:lang w:val="en-US" w:eastAsia="ko-KR"/>
                <w14:ligatures w14:val="none"/>
              </w:rPr>
              <w:t>,</w:t>
            </w:r>
            <w:r w:rsidRPr="00E76A44">
              <w:rPr>
                <w:rFonts w:eastAsia="Malgun Gothic" w:cs="Open Sans"/>
                <w:b/>
                <w:color w:val="000000"/>
                <w:kern w:val="0"/>
                <w:sz w:val="20"/>
                <w:szCs w:val="20"/>
                <w:lang w:val="en-US" w:eastAsia="ko-KR"/>
                <w14:ligatures w14:val="none"/>
              </w:rPr>
              <w:t>819</w:t>
            </w:r>
            <w:r>
              <w:rPr>
                <w:rFonts w:eastAsia="Malgun Gothic" w:cs="Open Sans"/>
                <w:b/>
                <w:color w:val="000000"/>
                <w:kern w:val="0"/>
                <w:sz w:val="20"/>
                <w:szCs w:val="20"/>
                <w:lang w:val="en-US" w:eastAsia="ko-KR"/>
                <w14:ligatures w14:val="none"/>
              </w:rPr>
              <w:t>,</w:t>
            </w:r>
            <w:r w:rsidRPr="00E76A44">
              <w:rPr>
                <w:rFonts w:eastAsia="Malgun Gothic" w:cs="Open Sans"/>
                <w:b/>
                <w:color w:val="000000"/>
                <w:kern w:val="0"/>
                <w:sz w:val="20"/>
                <w:szCs w:val="20"/>
                <w:lang w:val="en-US" w:eastAsia="ko-KR"/>
                <w14:ligatures w14:val="none"/>
              </w:rPr>
              <w:t>035</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B8256F5" w14:textId="77777777" w:rsidR="00690701" w:rsidRPr="0050389F" w:rsidRDefault="00690701">
            <w:pPr>
              <w:spacing w:before="60" w:after="60" w:line="240" w:lineRule="auto"/>
              <w:jc w:val="right"/>
              <w:rPr>
                <w:rFonts w:eastAsia="Malgun Gothic" w:cs="Open Sans"/>
                <w:b/>
                <w:color w:val="000000"/>
                <w:kern w:val="0"/>
                <w:sz w:val="20"/>
                <w:szCs w:val="20"/>
                <w:lang w:val="en-US" w:eastAsia="ko-KR"/>
                <w14:ligatures w14:val="none"/>
              </w:rPr>
            </w:pPr>
            <w:r w:rsidRPr="00862239">
              <w:rPr>
                <w:rFonts w:eastAsia="Times New Roman" w:cs="Open Sans"/>
                <w:b/>
                <w:color w:val="000000"/>
                <w:kern w:val="0"/>
                <w:sz w:val="20"/>
                <w:szCs w:val="20"/>
                <w:lang w:val="en-US" w:eastAsia="ko-KR"/>
                <w14:ligatures w14:val="none"/>
              </w:rPr>
              <w:t>78,489,646.52</w:t>
            </w:r>
            <w:r>
              <w:rPr>
                <w:rFonts w:eastAsia="Times New Roman" w:cs="Open Sans"/>
                <w:b/>
                <w:color w:val="000000"/>
                <w:kern w:val="0"/>
                <w:sz w:val="20"/>
                <w:szCs w:val="20"/>
                <w:lang w:val="en-US" w:eastAsia="ko-KR"/>
                <w14:ligatures w14:val="none"/>
              </w:rPr>
              <w:br/>
            </w:r>
            <w:r>
              <w:rPr>
                <w:rFonts w:eastAsia="Malgun Gothic" w:cs="Open Sans" w:hint="eastAsia"/>
                <w:b/>
                <w:color w:val="000000"/>
                <w:kern w:val="0"/>
                <w:sz w:val="20"/>
                <w:szCs w:val="20"/>
                <w:lang w:val="en-US" w:eastAsia="ko-KR"/>
                <w14:ligatures w14:val="none"/>
              </w:rPr>
              <w:t>(</w:t>
            </w:r>
            <w:r w:rsidRPr="411D2811">
              <w:rPr>
                <w:rFonts w:eastAsia="Malgun Gothic" w:cs="Open Sans"/>
                <w:b/>
                <w:bCs/>
                <w:color w:val="000000"/>
                <w:kern w:val="0"/>
                <w:sz w:val="20"/>
                <w:szCs w:val="20"/>
                <w:lang w:val="en-US" w:eastAsia="ko-KR"/>
                <w14:ligatures w14:val="none"/>
              </w:rPr>
              <w:t>86</w:t>
            </w:r>
            <w:r>
              <w:rPr>
                <w:rFonts w:eastAsia="Malgun Gothic" w:cs="Open Sans" w:hint="eastAsia"/>
                <w:b/>
                <w:color w:val="000000"/>
                <w:kern w:val="0"/>
                <w:sz w:val="20"/>
                <w:szCs w:val="20"/>
                <w:lang w:val="en-US" w:eastAsia="ko-KR"/>
                <w14:ligatures w14:val="none"/>
              </w:rPr>
              <w:t>%)</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E9E4B" w14:textId="77777777" w:rsidR="00690701" w:rsidRPr="008D26AB" w:rsidRDefault="00690701">
            <w:pPr>
              <w:spacing w:before="60" w:after="60" w:line="240" w:lineRule="auto"/>
              <w:jc w:val="left"/>
              <w:rPr>
                <w:rFonts w:eastAsia="Times New Roman" w:cs="Open Sans"/>
                <w:b/>
                <w:color w:val="000000"/>
                <w:kern w:val="0"/>
                <w:sz w:val="20"/>
                <w:szCs w:val="20"/>
                <w:lang w:val="en-US" w:eastAsia="ko-KR"/>
                <w14:ligatures w14:val="none"/>
              </w:rPr>
            </w:pPr>
          </w:p>
        </w:tc>
      </w:tr>
    </w:tbl>
    <w:p w14:paraId="5D566351" w14:textId="77777777" w:rsidR="00690701" w:rsidRDefault="00690701" w:rsidP="00690701">
      <w:pPr>
        <w:contextualSpacing/>
        <w:jc w:val="left"/>
      </w:pPr>
    </w:p>
    <w:p w14:paraId="562D026D" w14:textId="77777777" w:rsidR="00690701" w:rsidRDefault="00690701" w:rsidP="00690701">
      <w:pPr>
        <w:rPr>
          <w:lang w:eastAsia="ko-KR"/>
        </w:rPr>
      </w:pPr>
      <w:r>
        <w:rPr>
          <w:lang w:eastAsia="ko-KR"/>
        </w:rPr>
        <w:br w:type="page"/>
      </w:r>
    </w:p>
    <w:p w14:paraId="17C2EDEF" w14:textId="531869A9" w:rsidR="00690701" w:rsidRPr="00D42C75" w:rsidRDefault="008B4F4B" w:rsidP="00690701">
      <w:pPr>
        <w:pStyle w:val="Heading3"/>
        <w:rPr>
          <w:lang w:eastAsia="ko-KR"/>
        </w:rPr>
      </w:pPr>
      <w:r>
        <w:rPr>
          <w:rFonts w:eastAsia="Malgun Gothic"/>
          <w:lang w:eastAsia="ko-KR"/>
        </w:rPr>
        <w:lastRenderedPageBreak/>
        <w:t xml:space="preserve">                 </w:t>
      </w:r>
      <w:r w:rsidR="00690701">
        <w:rPr>
          <w:rFonts w:eastAsia="Malgun Gothic" w:hint="eastAsia"/>
          <w:lang w:eastAsia="ko-KR"/>
        </w:rPr>
        <w:t>Conditionally a</w:t>
      </w:r>
      <w:r w:rsidR="00690701">
        <w:rPr>
          <w:rFonts w:hint="eastAsia"/>
          <w:lang w:eastAsia="ko-KR"/>
        </w:rPr>
        <w:t>pproved Investment funding requests (</w:t>
      </w:r>
      <w:r w:rsidR="00690701">
        <w:rPr>
          <w:rFonts w:eastAsia="Malgun Gothic"/>
          <w:lang w:eastAsia="ko-KR"/>
        </w:rPr>
        <w:t>3</w:t>
      </w:r>
      <w:r w:rsidR="00690701">
        <w:rPr>
          <w:rFonts w:hint="eastAsia"/>
          <w:lang w:eastAsia="ko-KR"/>
        </w:rPr>
        <w:t xml:space="preserve"> countries)</w:t>
      </w:r>
    </w:p>
    <w:tbl>
      <w:tblPr>
        <w:tblW w:w="0" w:type="auto"/>
        <w:tblLook w:val="04A0" w:firstRow="1" w:lastRow="0" w:firstColumn="1" w:lastColumn="0" w:noHBand="0" w:noVBand="1"/>
      </w:tblPr>
      <w:tblGrid>
        <w:gridCol w:w="1705"/>
        <w:gridCol w:w="2430"/>
        <w:gridCol w:w="2070"/>
        <w:gridCol w:w="1890"/>
        <w:gridCol w:w="2340"/>
        <w:gridCol w:w="2430"/>
      </w:tblGrid>
      <w:tr w:rsidR="00690701" w:rsidRPr="00833576" w14:paraId="345B3732" w14:textId="77777777">
        <w:trPr>
          <w:trHeight w:val="320"/>
          <w:tblHeader/>
        </w:trPr>
        <w:tc>
          <w:tcPr>
            <w:tcW w:w="1705" w:type="dxa"/>
            <w:tcBorders>
              <w:top w:val="single" w:sz="4" w:space="0" w:color="auto"/>
              <w:left w:val="single" w:sz="4" w:space="0" w:color="auto"/>
              <w:bottom w:val="single" w:sz="4" w:space="0" w:color="auto"/>
              <w:right w:val="single" w:sz="4" w:space="0" w:color="auto"/>
            </w:tcBorders>
            <w:shd w:val="clear" w:color="auto" w:fill="185980"/>
            <w:noWrap/>
            <w:vAlign w:val="center"/>
            <w:hideMark/>
          </w:tcPr>
          <w:p w14:paraId="2C2EB79A" w14:textId="77777777" w:rsidR="00690701" w:rsidRPr="00833576" w:rsidRDefault="00690701">
            <w:pPr>
              <w:pStyle w:val="TableHeading"/>
              <w:jc w:val="left"/>
              <w:rPr>
                <w:lang w:val="en-US" w:eastAsia="ko-KR"/>
              </w:rPr>
            </w:pPr>
            <w:r w:rsidRPr="00833576">
              <w:rPr>
                <w:lang w:val="en-US" w:eastAsia="ko-KR"/>
              </w:rPr>
              <w:t>Country</w:t>
            </w:r>
          </w:p>
        </w:tc>
        <w:tc>
          <w:tcPr>
            <w:tcW w:w="2430" w:type="dxa"/>
            <w:tcBorders>
              <w:top w:val="single" w:sz="4" w:space="0" w:color="auto"/>
              <w:left w:val="nil"/>
              <w:bottom w:val="single" w:sz="4" w:space="0" w:color="auto"/>
              <w:right w:val="single" w:sz="4" w:space="0" w:color="auto"/>
            </w:tcBorders>
            <w:shd w:val="clear" w:color="auto" w:fill="185980"/>
            <w:vAlign w:val="center"/>
          </w:tcPr>
          <w:p w14:paraId="17465741" w14:textId="77777777" w:rsidR="00690701" w:rsidRPr="00833576" w:rsidRDefault="00690701">
            <w:pPr>
              <w:pStyle w:val="TableHeading"/>
              <w:jc w:val="left"/>
              <w:rPr>
                <w:rFonts w:eastAsia="Times New Roman" w:cs="Open Sans"/>
                <w:b w:val="0"/>
                <w:kern w:val="0"/>
                <w:sz w:val="20"/>
                <w:szCs w:val="20"/>
                <w:lang w:val="en-US" w:eastAsia="ko-KR"/>
                <w14:ligatures w14:val="none"/>
              </w:rPr>
            </w:pPr>
            <w:r>
              <w:rPr>
                <w:rFonts w:eastAsia="Malgun Gothic" w:hint="eastAsia"/>
                <w:lang w:val="en-US" w:eastAsia="ko-KR"/>
              </w:rPr>
              <w:t>Date of conditional approval</w:t>
            </w:r>
          </w:p>
        </w:tc>
        <w:tc>
          <w:tcPr>
            <w:tcW w:w="2070" w:type="dxa"/>
            <w:tcBorders>
              <w:top w:val="single" w:sz="4" w:space="0" w:color="auto"/>
              <w:left w:val="single" w:sz="4" w:space="0" w:color="auto"/>
              <w:bottom w:val="single" w:sz="4" w:space="0" w:color="auto"/>
              <w:right w:val="single" w:sz="4" w:space="0" w:color="auto"/>
            </w:tcBorders>
            <w:shd w:val="clear" w:color="auto" w:fill="185980"/>
            <w:noWrap/>
            <w:vAlign w:val="center"/>
            <w:hideMark/>
          </w:tcPr>
          <w:p w14:paraId="008E16F5" w14:textId="77777777" w:rsidR="00690701" w:rsidRPr="00833576" w:rsidRDefault="00690701">
            <w:pPr>
              <w:pStyle w:val="TableHeading"/>
              <w:jc w:val="left"/>
              <w:rPr>
                <w:rFonts w:eastAsia="Times New Roman" w:cs="Open Sans"/>
                <w:b w:val="0"/>
                <w:kern w:val="0"/>
                <w:sz w:val="20"/>
                <w:szCs w:val="20"/>
                <w:lang w:val="en-US" w:eastAsia="ko-KR"/>
                <w14:ligatures w14:val="none"/>
              </w:rPr>
            </w:pPr>
            <w:r>
              <w:rPr>
                <w:rFonts w:eastAsia="Malgun Gothic" w:hint="eastAsia"/>
                <w:lang w:val="en-US" w:eastAsia="ko-KR"/>
              </w:rPr>
              <w:t>IE</w:t>
            </w:r>
          </w:p>
        </w:tc>
        <w:tc>
          <w:tcPr>
            <w:tcW w:w="1890" w:type="dxa"/>
            <w:tcBorders>
              <w:top w:val="single" w:sz="4" w:space="0" w:color="auto"/>
              <w:left w:val="nil"/>
              <w:bottom w:val="single" w:sz="4" w:space="0" w:color="auto"/>
              <w:right w:val="single" w:sz="4" w:space="0" w:color="auto"/>
            </w:tcBorders>
            <w:shd w:val="clear" w:color="auto" w:fill="185980"/>
            <w:noWrap/>
            <w:vAlign w:val="center"/>
            <w:hideMark/>
          </w:tcPr>
          <w:p w14:paraId="66136D46" w14:textId="77777777" w:rsidR="00690701" w:rsidRPr="00833576" w:rsidRDefault="00690701">
            <w:pPr>
              <w:pStyle w:val="TableHeading"/>
              <w:jc w:val="left"/>
              <w:rPr>
                <w:lang w:val="en-US" w:eastAsia="ko-KR"/>
              </w:rPr>
            </w:pPr>
            <w:r w:rsidRPr="00833576">
              <w:rPr>
                <w:lang w:val="en-US" w:eastAsia="ko-KR"/>
              </w:rPr>
              <w:t>Peer Advisor</w:t>
            </w:r>
          </w:p>
        </w:tc>
        <w:tc>
          <w:tcPr>
            <w:tcW w:w="2340" w:type="dxa"/>
            <w:tcBorders>
              <w:top w:val="single" w:sz="4" w:space="0" w:color="auto"/>
              <w:left w:val="nil"/>
              <w:bottom w:val="single" w:sz="4" w:space="0" w:color="auto"/>
              <w:right w:val="single" w:sz="4" w:space="0" w:color="auto"/>
            </w:tcBorders>
            <w:shd w:val="clear" w:color="auto" w:fill="185980"/>
            <w:noWrap/>
            <w:vAlign w:val="center"/>
            <w:hideMark/>
          </w:tcPr>
          <w:p w14:paraId="12540015" w14:textId="77777777" w:rsidR="00690701" w:rsidRPr="00833576" w:rsidRDefault="00690701">
            <w:pPr>
              <w:pStyle w:val="TableHeading"/>
              <w:jc w:val="left"/>
              <w:rPr>
                <w:lang w:val="en-US" w:eastAsia="ko-KR"/>
              </w:rPr>
            </w:pPr>
            <w:r w:rsidRPr="00833576">
              <w:rPr>
                <w:lang w:val="en-US" w:eastAsia="ko-KR"/>
              </w:rPr>
              <w:t>Partner Peer Advisor</w:t>
            </w:r>
          </w:p>
        </w:tc>
        <w:tc>
          <w:tcPr>
            <w:tcW w:w="2430" w:type="dxa"/>
            <w:tcBorders>
              <w:top w:val="single" w:sz="4" w:space="0" w:color="auto"/>
              <w:left w:val="nil"/>
              <w:bottom w:val="single" w:sz="4" w:space="0" w:color="auto"/>
              <w:right w:val="single" w:sz="4" w:space="0" w:color="auto"/>
            </w:tcBorders>
            <w:shd w:val="clear" w:color="auto" w:fill="185980"/>
            <w:noWrap/>
            <w:vAlign w:val="center"/>
            <w:hideMark/>
          </w:tcPr>
          <w:p w14:paraId="3B93E8EA" w14:textId="77777777" w:rsidR="00690701" w:rsidRPr="00AD7E06" w:rsidRDefault="00690701">
            <w:pPr>
              <w:pStyle w:val="TableHeading"/>
              <w:jc w:val="left"/>
              <w:rPr>
                <w:rFonts w:eastAsia="Malgun Gothic" w:cs="Open Sans"/>
                <w:b w:val="0"/>
                <w:kern w:val="0"/>
                <w:sz w:val="20"/>
                <w:szCs w:val="20"/>
                <w:lang w:val="en-US" w:eastAsia="ko-KR"/>
                <w14:ligatures w14:val="none"/>
              </w:rPr>
            </w:pPr>
            <w:r w:rsidRPr="00833576">
              <w:rPr>
                <w:lang w:val="en-US" w:eastAsia="ko-KR"/>
              </w:rPr>
              <w:t xml:space="preserve">Amount </w:t>
            </w:r>
            <w:r>
              <w:rPr>
                <w:rFonts w:eastAsia="Malgun Gothic" w:cs="Open Sans" w:hint="eastAsia"/>
                <w:b w:val="0"/>
                <w:kern w:val="0"/>
                <w:sz w:val="20"/>
                <w:szCs w:val="20"/>
                <w:lang w:val="en-US" w:eastAsia="ko-KR"/>
                <w14:ligatures w14:val="none"/>
              </w:rPr>
              <w:t>(in USD)</w:t>
            </w:r>
          </w:p>
        </w:tc>
      </w:tr>
      <w:tr w:rsidR="00690701" w:rsidRPr="00833576" w14:paraId="6E08880A" w14:textId="77777777" w:rsidTr="00862D65">
        <w:trPr>
          <w:trHeight w:val="320"/>
        </w:trPr>
        <w:tc>
          <w:tcPr>
            <w:tcW w:w="1705" w:type="dxa"/>
            <w:tcBorders>
              <w:top w:val="nil"/>
              <w:left w:val="single" w:sz="4" w:space="0" w:color="auto"/>
              <w:bottom w:val="single" w:sz="4" w:space="0" w:color="auto"/>
              <w:right w:val="single" w:sz="4" w:space="0" w:color="auto"/>
            </w:tcBorders>
            <w:noWrap/>
          </w:tcPr>
          <w:p w14:paraId="2A613901" w14:textId="77777777" w:rsidR="00690701" w:rsidRPr="00E7276D" w:rsidRDefault="00690701">
            <w:pPr>
              <w:pStyle w:val="TableText"/>
              <w:rPr>
                <w:b/>
                <w:bCs/>
                <w:lang w:val="en-US" w:eastAsia="ko-KR"/>
              </w:rPr>
            </w:pPr>
            <w:r w:rsidRPr="00E7276D">
              <w:rPr>
                <w:b/>
                <w:bCs/>
                <w:lang w:val="en-US" w:eastAsia="ko-KR"/>
              </w:rPr>
              <w:t>Samoa</w:t>
            </w:r>
          </w:p>
        </w:tc>
        <w:tc>
          <w:tcPr>
            <w:tcW w:w="2430" w:type="dxa"/>
            <w:tcBorders>
              <w:top w:val="single" w:sz="4" w:space="0" w:color="auto"/>
              <w:left w:val="nil"/>
              <w:bottom w:val="single" w:sz="4" w:space="0" w:color="auto"/>
              <w:right w:val="single" w:sz="4" w:space="0" w:color="auto"/>
            </w:tcBorders>
          </w:tcPr>
          <w:p w14:paraId="6ED4ABE9" w14:textId="77777777" w:rsidR="00690701" w:rsidRPr="008D26AB" w:rsidRDefault="00690701">
            <w:pPr>
              <w:pStyle w:val="TableText"/>
              <w:rPr>
                <w:lang w:val="en-US" w:eastAsia="ko-KR"/>
              </w:rPr>
            </w:pPr>
            <w:r w:rsidRPr="008D26AB">
              <w:rPr>
                <w:lang w:val="en-US" w:eastAsia="ko-KR"/>
              </w:rPr>
              <w:t>Jun 2024</w:t>
            </w:r>
          </w:p>
        </w:tc>
        <w:tc>
          <w:tcPr>
            <w:tcW w:w="2070" w:type="dxa"/>
            <w:tcBorders>
              <w:top w:val="single" w:sz="4" w:space="0" w:color="auto"/>
              <w:left w:val="single" w:sz="4" w:space="0" w:color="auto"/>
              <w:bottom w:val="single" w:sz="4" w:space="0" w:color="auto"/>
              <w:right w:val="single" w:sz="4" w:space="0" w:color="auto"/>
            </w:tcBorders>
            <w:noWrap/>
          </w:tcPr>
          <w:p w14:paraId="6FD3ED99" w14:textId="77777777" w:rsidR="00690701" w:rsidRPr="00833576" w:rsidRDefault="00690701">
            <w:pPr>
              <w:pStyle w:val="TableText"/>
              <w:rPr>
                <w:lang w:val="en-US" w:eastAsia="ko-KR"/>
              </w:rPr>
            </w:pPr>
            <w:r w:rsidRPr="00833576">
              <w:rPr>
                <w:lang w:val="en-US" w:eastAsia="ko-KR"/>
              </w:rPr>
              <w:t>World Bank</w:t>
            </w:r>
          </w:p>
        </w:tc>
        <w:tc>
          <w:tcPr>
            <w:tcW w:w="1890" w:type="dxa"/>
            <w:tcBorders>
              <w:top w:val="nil"/>
              <w:left w:val="nil"/>
              <w:bottom w:val="single" w:sz="4" w:space="0" w:color="auto"/>
              <w:right w:val="single" w:sz="4" w:space="0" w:color="auto"/>
            </w:tcBorders>
            <w:noWrap/>
          </w:tcPr>
          <w:p w14:paraId="304EEC69" w14:textId="77777777" w:rsidR="00690701" w:rsidRPr="00833576" w:rsidRDefault="00690701">
            <w:pPr>
              <w:pStyle w:val="TableText"/>
              <w:rPr>
                <w:lang w:val="en-US" w:eastAsia="ko-KR"/>
              </w:rPr>
            </w:pPr>
            <w:r w:rsidRPr="00833576">
              <w:rPr>
                <w:lang w:val="en-US" w:eastAsia="ko-KR"/>
              </w:rPr>
              <w:t>Australia</w:t>
            </w:r>
          </w:p>
        </w:tc>
        <w:tc>
          <w:tcPr>
            <w:tcW w:w="2340" w:type="dxa"/>
            <w:tcBorders>
              <w:top w:val="nil"/>
              <w:left w:val="nil"/>
              <w:bottom w:val="single" w:sz="4" w:space="0" w:color="auto"/>
              <w:right w:val="single" w:sz="4" w:space="0" w:color="auto"/>
            </w:tcBorders>
            <w:noWrap/>
          </w:tcPr>
          <w:p w14:paraId="5ED04C4A" w14:textId="77777777" w:rsidR="00690701" w:rsidRPr="00833576" w:rsidRDefault="00690701">
            <w:pPr>
              <w:pStyle w:val="TableText"/>
              <w:rPr>
                <w:lang w:val="en-US" w:eastAsia="ko-KR"/>
              </w:rPr>
            </w:pPr>
            <w:r w:rsidRPr="00833576">
              <w:rPr>
                <w:lang w:val="en-US" w:eastAsia="ko-KR"/>
              </w:rPr>
              <w:t> </w:t>
            </w:r>
          </w:p>
        </w:tc>
        <w:tc>
          <w:tcPr>
            <w:tcW w:w="2430" w:type="dxa"/>
            <w:tcBorders>
              <w:top w:val="nil"/>
              <w:left w:val="nil"/>
              <w:bottom w:val="single" w:sz="4" w:space="0" w:color="auto"/>
              <w:right w:val="single" w:sz="4" w:space="0" w:color="auto"/>
            </w:tcBorders>
            <w:noWrap/>
          </w:tcPr>
          <w:p w14:paraId="780B8C0B" w14:textId="77777777" w:rsidR="00690701" w:rsidRPr="00833576" w:rsidRDefault="00690701">
            <w:pPr>
              <w:pStyle w:val="TableText"/>
              <w:jc w:val="right"/>
              <w:rPr>
                <w:lang w:val="en-US" w:eastAsia="ko-KR"/>
              </w:rPr>
            </w:pPr>
            <w:r w:rsidRPr="00833576">
              <w:rPr>
                <w:lang w:val="en-US" w:eastAsia="ko-KR"/>
              </w:rPr>
              <w:t xml:space="preserve">6,005,375 </w:t>
            </w:r>
          </w:p>
        </w:tc>
      </w:tr>
      <w:tr w:rsidR="00690701" w:rsidRPr="00833576" w14:paraId="67925A06" w14:textId="77777777" w:rsidTr="00862D65">
        <w:trPr>
          <w:trHeight w:val="320"/>
        </w:trPr>
        <w:tc>
          <w:tcPr>
            <w:tcW w:w="1705" w:type="dxa"/>
            <w:tcBorders>
              <w:top w:val="nil"/>
              <w:left w:val="single" w:sz="4" w:space="0" w:color="auto"/>
              <w:bottom w:val="single" w:sz="4" w:space="0" w:color="auto"/>
              <w:right w:val="single" w:sz="4" w:space="0" w:color="auto"/>
            </w:tcBorders>
            <w:noWrap/>
          </w:tcPr>
          <w:p w14:paraId="5857E62F" w14:textId="77777777" w:rsidR="00690701" w:rsidRPr="00E7276D" w:rsidRDefault="00690701">
            <w:pPr>
              <w:pStyle w:val="TableText"/>
              <w:rPr>
                <w:b/>
                <w:bCs/>
                <w:lang w:val="en-US" w:eastAsia="ko-KR"/>
              </w:rPr>
            </w:pPr>
            <w:r w:rsidRPr="00E7276D">
              <w:rPr>
                <w:b/>
                <w:bCs/>
                <w:lang w:val="en-US" w:eastAsia="ko-KR"/>
              </w:rPr>
              <w:t>Nauru</w:t>
            </w:r>
          </w:p>
        </w:tc>
        <w:tc>
          <w:tcPr>
            <w:tcW w:w="2430" w:type="dxa"/>
            <w:tcBorders>
              <w:top w:val="single" w:sz="4" w:space="0" w:color="auto"/>
              <w:left w:val="nil"/>
              <w:bottom w:val="single" w:sz="4" w:space="0" w:color="auto"/>
              <w:right w:val="single" w:sz="4" w:space="0" w:color="auto"/>
            </w:tcBorders>
          </w:tcPr>
          <w:p w14:paraId="3F269156" w14:textId="77777777" w:rsidR="00690701" w:rsidRPr="008D26AB" w:rsidRDefault="00690701">
            <w:pPr>
              <w:pStyle w:val="TableText"/>
              <w:rPr>
                <w:lang w:val="en-US" w:eastAsia="ko-KR"/>
              </w:rPr>
            </w:pPr>
            <w:r w:rsidRPr="008D26AB">
              <w:rPr>
                <w:lang w:val="en-US" w:eastAsia="ko-KR"/>
              </w:rPr>
              <w:t>Jun 2024</w:t>
            </w:r>
          </w:p>
        </w:tc>
        <w:tc>
          <w:tcPr>
            <w:tcW w:w="2070" w:type="dxa"/>
            <w:tcBorders>
              <w:top w:val="single" w:sz="4" w:space="0" w:color="auto"/>
              <w:left w:val="single" w:sz="4" w:space="0" w:color="auto"/>
              <w:bottom w:val="single" w:sz="4" w:space="0" w:color="auto"/>
              <w:right w:val="single" w:sz="4" w:space="0" w:color="auto"/>
            </w:tcBorders>
            <w:noWrap/>
          </w:tcPr>
          <w:p w14:paraId="45A2582C" w14:textId="77777777" w:rsidR="00690701" w:rsidRPr="00833576" w:rsidRDefault="00690701">
            <w:pPr>
              <w:pStyle w:val="TableText"/>
              <w:rPr>
                <w:lang w:val="en-US" w:eastAsia="ko-KR"/>
              </w:rPr>
            </w:pPr>
            <w:r w:rsidRPr="00833576">
              <w:rPr>
                <w:lang w:val="en-US" w:eastAsia="ko-KR"/>
              </w:rPr>
              <w:t>UNEP</w:t>
            </w:r>
          </w:p>
        </w:tc>
        <w:tc>
          <w:tcPr>
            <w:tcW w:w="1890" w:type="dxa"/>
            <w:tcBorders>
              <w:top w:val="nil"/>
              <w:left w:val="nil"/>
              <w:bottom w:val="single" w:sz="4" w:space="0" w:color="auto"/>
              <w:right w:val="single" w:sz="4" w:space="0" w:color="auto"/>
            </w:tcBorders>
            <w:noWrap/>
          </w:tcPr>
          <w:p w14:paraId="001D7837" w14:textId="77777777" w:rsidR="00690701" w:rsidRPr="00833576" w:rsidRDefault="00690701">
            <w:pPr>
              <w:pStyle w:val="TableText"/>
              <w:rPr>
                <w:lang w:val="en-US" w:eastAsia="ko-KR"/>
              </w:rPr>
            </w:pPr>
            <w:r w:rsidRPr="00833576">
              <w:rPr>
                <w:lang w:val="en-US" w:eastAsia="ko-KR"/>
              </w:rPr>
              <w:t>Australia</w:t>
            </w:r>
          </w:p>
        </w:tc>
        <w:tc>
          <w:tcPr>
            <w:tcW w:w="2340" w:type="dxa"/>
            <w:tcBorders>
              <w:top w:val="nil"/>
              <w:left w:val="nil"/>
              <w:bottom w:val="single" w:sz="4" w:space="0" w:color="auto"/>
              <w:right w:val="single" w:sz="4" w:space="0" w:color="auto"/>
            </w:tcBorders>
            <w:noWrap/>
          </w:tcPr>
          <w:p w14:paraId="05997C7F" w14:textId="77777777" w:rsidR="00690701" w:rsidRPr="00833576" w:rsidRDefault="00690701">
            <w:pPr>
              <w:pStyle w:val="TableText"/>
              <w:rPr>
                <w:lang w:val="en-US" w:eastAsia="ko-KR"/>
              </w:rPr>
            </w:pPr>
            <w:r w:rsidRPr="00833576">
              <w:rPr>
                <w:lang w:val="en-US" w:eastAsia="ko-KR"/>
              </w:rPr>
              <w:t> </w:t>
            </w:r>
          </w:p>
        </w:tc>
        <w:tc>
          <w:tcPr>
            <w:tcW w:w="2430" w:type="dxa"/>
            <w:tcBorders>
              <w:top w:val="nil"/>
              <w:left w:val="nil"/>
              <w:bottom w:val="single" w:sz="4" w:space="0" w:color="auto"/>
              <w:right w:val="single" w:sz="4" w:space="0" w:color="auto"/>
            </w:tcBorders>
            <w:noWrap/>
          </w:tcPr>
          <w:p w14:paraId="6C49D58C" w14:textId="77777777" w:rsidR="00690701" w:rsidRPr="00833576" w:rsidRDefault="00690701">
            <w:pPr>
              <w:pStyle w:val="TableText"/>
              <w:jc w:val="right"/>
              <w:rPr>
                <w:lang w:val="en-US" w:eastAsia="ko-KR"/>
              </w:rPr>
            </w:pPr>
            <w:r w:rsidRPr="00833576">
              <w:rPr>
                <w:lang w:val="en-US" w:eastAsia="ko-KR"/>
              </w:rPr>
              <w:t xml:space="preserve">6,194,529 </w:t>
            </w:r>
          </w:p>
        </w:tc>
      </w:tr>
      <w:tr w:rsidR="00690701" w:rsidRPr="00833576" w14:paraId="1C1C509D" w14:textId="77777777" w:rsidTr="00862D65">
        <w:trPr>
          <w:trHeight w:val="320"/>
        </w:trPr>
        <w:tc>
          <w:tcPr>
            <w:tcW w:w="1705" w:type="dxa"/>
            <w:tcBorders>
              <w:top w:val="nil"/>
              <w:left w:val="single" w:sz="4" w:space="0" w:color="auto"/>
              <w:bottom w:val="single" w:sz="4" w:space="0" w:color="auto"/>
              <w:right w:val="single" w:sz="4" w:space="0" w:color="auto"/>
            </w:tcBorders>
            <w:noWrap/>
            <w:hideMark/>
          </w:tcPr>
          <w:p w14:paraId="74947D1B" w14:textId="77777777" w:rsidR="00690701" w:rsidRPr="00E7276D" w:rsidRDefault="00690701">
            <w:pPr>
              <w:pStyle w:val="TableText"/>
              <w:rPr>
                <w:b/>
                <w:bCs/>
                <w:lang w:val="en-US" w:eastAsia="ko-KR"/>
              </w:rPr>
            </w:pPr>
            <w:r w:rsidRPr="00E7276D">
              <w:rPr>
                <w:b/>
                <w:bCs/>
                <w:lang w:val="en-US" w:eastAsia="ko-KR"/>
              </w:rPr>
              <w:t>Malawi</w:t>
            </w:r>
          </w:p>
        </w:tc>
        <w:tc>
          <w:tcPr>
            <w:tcW w:w="2430" w:type="dxa"/>
            <w:tcBorders>
              <w:top w:val="single" w:sz="4" w:space="0" w:color="auto"/>
              <w:left w:val="nil"/>
              <w:bottom w:val="single" w:sz="4" w:space="0" w:color="auto"/>
              <w:right w:val="single" w:sz="4" w:space="0" w:color="auto"/>
            </w:tcBorders>
          </w:tcPr>
          <w:p w14:paraId="7F906858" w14:textId="77777777" w:rsidR="00690701" w:rsidRPr="00833576" w:rsidRDefault="00690701">
            <w:pPr>
              <w:pStyle w:val="TableText"/>
              <w:rPr>
                <w:lang w:val="en-US" w:eastAsia="ko-KR"/>
              </w:rPr>
            </w:pPr>
            <w:r w:rsidRPr="008D26AB">
              <w:rPr>
                <w:lang w:val="en-US" w:eastAsia="ko-KR"/>
              </w:rPr>
              <w:t>Jun 2024</w:t>
            </w:r>
          </w:p>
        </w:tc>
        <w:tc>
          <w:tcPr>
            <w:tcW w:w="2070" w:type="dxa"/>
            <w:tcBorders>
              <w:top w:val="single" w:sz="4" w:space="0" w:color="auto"/>
              <w:left w:val="single" w:sz="4" w:space="0" w:color="auto"/>
              <w:bottom w:val="single" w:sz="4" w:space="0" w:color="auto"/>
              <w:right w:val="single" w:sz="4" w:space="0" w:color="auto"/>
            </w:tcBorders>
            <w:noWrap/>
            <w:hideMark/>
          </w:tcPr>
          <w:p w14:paraId="61FFFBC4" w14:textId="77777777" w:rsidR="00690701" w:rsidRPr="00833576" w:rsidRDefault="00690701">
            <w:pPr>
              <w:pStyle w:val="TableText"/>
              <w:rPr>
                <w:lang w:val="en-US" w:eastAsia="ko-KR"/>
              </w:rPr>
            </w:pPr>
            <w:r w:rsidRPr="00833576">
              <w:rPr>
                <w:lang w:val="en-US" w:eastAsia="ko-KR"/>
              </w:rPr>
              <w:t>UNDP</w:t>
            </w:r>
          </w:p>
        </w:tc>
        <w:tc>
          <w:tcPr>
            <w:tcW w:w="1890" w:type="dxa"/>
            <w:tcBorders>
              <w:top w:val="nil"/>
              <w:left w:val="nil"/>
              <w:bottom w:val="single" w:sz="4" w:space="0" w:color="auto"/>
              <w:right w:val="single" w:sz="4" w:space="0" w:color="auto"/>
            </w:tcBorders>
            <w:noWrap/>
            <w:hideMark/>
          </w:tcPr>
          <w:p w14:paraId="346A7B86" w14:textId="77777777" w:rsidR="00690701" w:rsidRPr="00833576" w:rsidRDefault="00690701">
            <w:pPr>
              <w:pStyle w:val="TableText"/>
              <w:rPr>
                <w:lang w:val="en-US" w:eastAsia="ko-KR"/>
              </w:rPr>
            </w:pPr>
            <w:r w:rsidRPr="00833576">
              <w:rPr>
                <w:lang w:val="en-US" w:eastAsia="ko-KR"/>
              </w:rPr>
              <w:t>Norway</w:t>
            </w:r>
          </w:p>
        </w:tc>
        <w:tc>
          <w:tcPr>
            <w:tcW w:w="2340" w:type="dxa"/>
            <w:tcBorders>
              <w:top w:val="nil"/>
              <w:left w:val="nil"/>
              <w:bottom w:val="single" w:sz="4" w:space="0" w:color="auto"/>
              <w:right w:val="single" w:sz="4" w:space="0" w:color="auto"/>
            </w:tcBorders>
            <w:noWrap/>
            <w:hideMark/>
          </w:tcPr>
          <w:p w14:paraId="74119E0A" w14:textId="77777777" w:rsidR="00690701" w:rsidRPr="00833576" w:rsidRDefault="00690701">
            <w:pPr>
              <w:pStyle w:val="TableText"/>
              <w:rPr>
                <w:lang w:val="en-US" w:eastAsia="ko-KR"/>
              </w:rPr>
            </w:pPr>
            <w:r w:rsidRPr="00833576">
              <w:rPr>
                <w:lang w:val="en-US" w:eastAsia="ko-KR"/>
              </w:rPr>
              <w:t>Iceland</w:t>
            </w:r>
          </w:p>
        </w:tc>
        <w:tc>
          <w:tcPr>
            <w:tcW w:w="2430" w:type="dxa"/>
            <w:tcBorders>
              <w:top w:val="nil"/>
              <w:left w:val="nil"/>
              <w:bottom w:val="single" w:sz="4" w:space="0" w:color="auto"/>
              <w:right w:val="single" w:sz="4" w:space="0" w:color="auto"/>
            </w:tcBorders>
            <w:noWrap/>
            <w:hideMark/>
          </w:tcPr>
          <w:p w14:paraId="62E8E815" w14:textId="77777777" w:rsidR="00690701" w:rsidRPr="00833576" w:rsidRDefault="00690701">
            <w:pPr>
              <w:pStyle w:val="TableText"/>
              <w:jc w:val="right"/>
              <w:rPr>
                <w:lang w:val="en-US" w:eastAsia="ko-KR"/>
              </w:rPr>
            </w:pPr>
            <w:r w:rsidRPr="00833576">
              <w:rPr>
                <w:lang w:val="en-US" w:eastAsia="ko-KR"/>
              </w:rPr>
              <w:t xml:space="preserve">3,876,356 </w:t>
            </w:r>
          </w:p>
        </w:tc>
      </w:tr>
      <w:tr w:rsidR="00690701" w:rsidRPr="00833576" w14:paraId="3B00F916" w14:textId="77777777">
        <w:trPr>
          <w:trHeight w:val="320"/>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487E" w14:textId="77777777" w:rsidR="00690701" w:rsidRPr="00E7276D" w:rsidRDefault="00690701">
            <w:pPr>
              <w:pStyle w:val="TableText"/>
              <w:rPr>
                <w:b/>
                <w:bCs/>
                <w:lang w:val="en-US" w:eastAsia="ko-KR"/>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2B8C2" w14:textId="77777777" w:rsidR="00690701" w:rsidRPr="00E7276D" w:rsidRDefault="00690701">
            <w:pPr>
              <w:pStyle w:val="TableText"/>
              <w:rPr>
                <w:b/>
                <w:bCs/>
                <w:lang w:val="en-US" w:eastAsia="ko-KR"/>
              </w:rPr>
            </w:pP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4D699AF" w14:textId="77777777" w:rsidR="00690701" w:rsidRPr="00E7276D" w:rsidRDefault="00690701">
            <w:pPr>
              <w:pStyle w:val="TableText"/>
              <w:rPr>
                <w:b/>
                <w:bCs/>
                <w:lang w:val="en-US" w:eastAsia="ko-KR"/>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D292B0" w14:textId="77777777" w:rsidR="00690701" w:rsidRPr="00E7276D" w:rsidRDefault="00690701">
            <w:pPr>
              <w:pStyle w:val="TableText"/>
              <w:rPr>
                <w:b/>
                <w:bCs/>
                <w:lang w:val="en-US"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4522D30" w14:textId="77777777" w:rsidR="00690701" w:rsidRPr="00E7276D" w:rsidRDefault="00690701">
            <w:pPr>
              <w:pStyle w:val="TableText"/>
              <w:jc w:val="right"/>
              <w:rPr>
                <w:b/>
                <w:bCs/>
                <w:lang w:val="en-US" w:eastAsia="ko-KR"/>
              </w:rPr>
            </w:pPr>
            <w:r w:rsidRPr="00E7276D">
              <w:rPr>
                <w:b/>
                <w:bCs/>
                <w:lang w:val="en-US" w:eastAsia="ko-KR"/>
              </w:rPr>
              <w:t>Total</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F9C51F5" w14:textId="77777777" w:rsidR="00690701" w:rsidRPr="00E7276D" w:rsidRDefault="00690701">
            <w:pPr>
              <w:pStyle w:val="TableText"/>
              <w:jc w:val="right"/>
              <w:rPr>
                <w:rFonts w:eastAsia="Malgun Gothic"/>
                <w:b/>
                <w:bCs/>
                <w:lang w:val="en-US" w:eastAsia="ko-KR"/>
              </w:rPr>
            </w:pPr>
            <w:r w:rsidRPr="00E7276D">
              <w:rPr>
                <w:rFonts w:eastAsia="Malgun Gothic" w:hint="eastAsia"/>
                <w:b/>
                <w:bCs/>
                <w:lang w:val="en-US" w:eastAsia="ko-KR"/>
              </w:rPr>
              <w:t xml:space="preserve">USD </w:t>
            </w:r>
            <w:r w:rsidRPr="00E7276D">
              <w:rPr>
                <w:rFonts w:eastAsia="Malgun Gothic"/>
                <w:b/>
                <w:bCs/>
                <w:lang w:val="en-US" w:eastAsia="ko-KR"/>
              </w:rPr>
              <w:t>16,076,260</w:t>
            </w:r>
          </w:p>
        </w:tc>
      </w:tr>
    </w:tbl>
    <w:p w14:paraId="4CCA9C06" w14:textId="77777777" w:rsidR="008B4F4B" w:rsidRDefault="008B4F4B" w:rsidP="008B4F4B">
      <w:pPr>
        <w:pStyle w:val="Heading2"/>
      </w:pPr>
    </w:p>
    <w:p w14:paraId="33B18E74" w14:textId="4695CADC" w:rsidR="007E7892" w:rsidRPr="00CD1DBC" w:rsidRDefault="008B4F4B" w:rsidP="008B4F4B">
      <w:pPr>
        <w:pStyle w:val="Heading3"/>
        <w:rPr>
          <w:rFonts w:eastAsia="Malgun Gothic"/>
          <w:lang w:eastAsia="ko-KR"/>
        </w:rPr>
      </w:pPr>
      <w:r w:rsidRPr="00CD1DBC">
        <w:rPr>
          <w:rFonts w:eastAsia="Malgun Gothic"/>
          <w:color w:val="auto"/>
          <w:lang w:eastAsia="ko-KR"/>
        </w:rPr>
        <w:t xml:space="preserve">               </w:t>
      </w:r>
      <w:r w:rsidRPr="00CD1DBC">
        <w:rPr>
          <w:rFonts w:eastAsia="Malgun Gothic"/>
          <w:lang w:eastAsia="ko-KR"/>
        </w:rPr>
        <w:t xml:space="preserve">Pipeline </w:t>
      </w:r>
      <w:r w:rsidR="00CD1DBC" w:rsidRPr="00CD1DBC">
        <w:rPr>
          <w:rFonts w:eastAsia="Malgun Gothic"/>
          <w:lang w:eastAsia="ko-KR"/>
        </w:rPr>
        <w:t xml:space="preserve">Investment funding requests (6 </w:t>
      </w:r>
      <w:r w:rsidRPr="00CD1DBC">
        <w:rPr>
          <w:rFonts w:eastAsia="Malgun Gothic"/>
          <w:lang w:eastAsia="ko-KR"/>
        </w:rPr>
        <w:t>countries</w:t>
      </w:r>
      <w:r w:rsidR="00CD1DBC" w:rsidRPr="00CD1DBC">
        <w:rPr>
          <w:rFonts w:eastAsia="Malgun Gothic"/>
          <w:lang w:eastAsia="ko-KR"/>
        </w:rPr>
        <w:t>)</w:t>
      </w:r>
    </w:p>
    <w:tbl>
      <w:tblPr>
        <w:tblW w:w="0" w:type="auto"/>
        <w:tblLook w:val="04A0" w:firstRow="1" w:lastRow="0" w:firstColumn="1" w:lastColumn="0" w:noHBand="0" w:noVBand="1"/>
      </w:tblPr>
      <w:tblGrid>
        <w:gridCol w:w="1705"/>
        <w:gridCol w:w="2430"/>
        <w:gridCol w:w="2070"/>
        <w:gridCol w:w="1890"/>
        <w:gridCol w:w="2340"/>
        <w:gridCol w:w="2430"/>
      </w:tblGrid>
      <w:tr w:rsidR="007E7892" w:rsidRPr="007E7892" w14:paraId="2CFB1770" w14:textId="77777777">
        <w:trPr>
          <w:trHeight w:val="320"/>
          <w:tblHeader/>
        </w:trPr>
        <w:tc>
          <w:tcPr>
            <w:tcW w:w="1705" w:type="dxa"/>
            <w:tcBorders>
              <w:top w:val="single" w:sz="4" w:space="0" w:color="auto"/>
              <w:left w:val="single" w:sz="4" w:space="0" w:color="auto"/>
              <w:bottom w:val="single" w:sz="4" w:space="0" w:color="auto"/>
              <w:right w:val="single" w:sz="4" w:space="0" w:color="auto"/>
            </w:tcBorders>
            <w:shd w:val="clear" w:color="auto" w:fill="185980"/>
            <w:noWrap/>
            <w:vAlign w:val="center"/>
            <w:hideMark/>
          </w:tcPr>
          <w:p w14:paraId="583EB7C0" w14:textId="77777777" w:rsidR="007E7892" w:rsidRPr="007E7892" w:rsidRDefault="007E7892" w:rsidP="007E7892">
            <w:pPr>
              <w:rPr>
                <w:b/>
                <w:color w:val="FFFFFF" w:themeColor="background1"/>
                <w:lang w:val="en-US" w:eastAsia="ko-KR"/>
              </w:rPr>
            </w:pPr>
            <w:r w:rsidRPr="007E7892">
              <w:rPr>
                <w:b/>
                <w:color w:val="FFFFFF" w:themeColor="background1"/>
                <w:lang w:val="en-US" w:eastAsia="ko-KR"/>
              </w:rPr>
              <w:t>Country</w:t>
            </w:r>
          </w:p>
        </w:tc>
        <w:tc>
          <w:tcPr>
            <w:tcW w:w="2430" w:type="dxa"/>
            <w:tcBorders>
              <w:top w:val="single" w:sz="4" w:space="0" w:color="auto"/>
              <w:left w:val="nil"/>
              <w:bottom w:val="single" w:sz="4" w:space="0" w:color="auto"/>
              <w:right w:val="single" w:sz="4" w:space="0" w:color="auto"/>
            </w:tcBorders>
            <w:shd w:val="clear" w:color="auto" w:fill="185980"/>
            <w:vAlign w:val="center"/>
          </w:tcPr>
          <w:p w14:paraId="791C13FE" w14:textId="02EAF9D2" w:rsidR="007E7892" w:rsidRPr="007E7892" w:rsidRDefault="007E7892" w:rsidP="00830666">
            <w:pPr>
              <w:jc w:val="left"/>
              <w:rPr>
                <w:color w:val="FFFFFF" w:themeColor="background1"/>
                <w:lang w:val="en-US" w:eastAsia="ko-KR"/>
              </w:rPr>
            </w:pPr>
            <w:r w:rsidRPr="007E7892">
              <w:rPr>
                <w:rFonts w:hint="eastAsia"/>
                <w:b/>
                <w:color w:val="FFFFFF" w:themeColor="background1"/>
                <w:lang w:val="en-US" w:eastAsia="ko-KR"/>
              </w:rPr>
              <w:t xml:space="preserve">Date of </w:t>
            </w:r>
            <w:r w:rsidR="00830666">
              <w:rPr>
                <w:b/>
                <w:color w:val="FFFFFF" w:themeColor="background1"/>
                <w:lang w:val="en-US" w:eastAsia="ko-KR"/>
              </w:rPr>
              <w:t>pipeline</w:t>
            </w:r>
            <w:r w:rsidRPr="007E7892">
              <w:rPr>
                <w:rFonts w:hint="eastAsia"/>
                <w:b/>
                <w:color w:val="FFFFFF" w:themeColor="background1"/>
                <w:lang w:val="en-US" w:eastAsia="ko-KR"/>
              </w:rPr>
              <w:t xml:space="preserve"> approval</w:t>
            </w:r>
          </w:p>
        </w:tc>
        <w:tc>
          <w:tcPr>
            <w:tcW w:w="2070" w:type="dxa"/>
            <w:tcBorders>
              <w:top w:val="single" w:sz="4" w:space="0" w:color="auto"/>
              <w:left w:val="single" w:sz="4" w:space="0" w:color="auto"/>
              <w:bottom w:val="single" w:sz="4" w:space="0" w:color="auto"/>
              <w:right w:val="single" w:sz="4" w:space="0" w:color="auto"/>
            </w:tcBorders>
            <w:shd w:val="clear" w:color="auto" w:fill="185980"/>
            <w:noWrap/>
            <w:vAlign w:val="center"/>
            <w:hideMark/>
          </w:tcPr>
          <w:p w14:paraId="4537EFE8" w14:textId="77777777" w:rsidR="007E7892" w:rsidRPr="007E7892" w:rsidRDefault="007E7892" w:rsidP="007E7892">
            <w:pPr>
              <w:rPr>
                <w:color w:val="FFFFFF" w:themeColor="background1"/>
                <w:lang w:val="en-US" w:eastAsia="ko-KR"/>
              </w:rPr>
            </w:pPr>
            <w:r w:rsidRPr="007E7892">
              <w:rPr>
                <w:rFonts w:hint="eastAsia"/>
                <w:b/>
                <w:color w:val="FFFFFF" w:themeColor="background1"/>
                <w:lang w:val="en-US" w:eastAsia="ko-KR"/>
              </w:rPr>
              <w:t>IE</w:t>
            </w:r>
          </w:p>
        </w:tc>
        <w:tc>
          <w:tcPr>
            <w:tcW w:w="1890" w:type="dxa"/>
            <w:tcBorders>
              <w:top w:val="single" w:sz="4" w:space="0" w:color="auto"/>
              <w:left w:val="nil"/>
              <w:bottom w:val="single" w:sz="4" w:space="0" w:color="auto"/>
              <w:right w:val="single" w:sz="4" w:space="0" w:color="auto"/>
            </w:tcBorders>
            <w:shd w:val="clear" w:color="auto" w:fill="185980"/>
            <w:noWrap/>
            <w:vAlign w:val="center"/>
            <w:hideMark/>
          </w:tcPr>
          <w:p w14:paraId="0DFB8235" w14:textId="77777777" w:rsidR="007E7892" w:rsidRPr="007E7892" w:rsidRDefault="007E7892" w:rsidP="007E7892">
            <w:pPr>
              <w:rPr>
                <w:b/>
                <w:color w:val="FFFFFF" w:themeColor="background1"/>
                <w:lang w:val="en-US" w:eastAsia="ko-KR"/>
              </w:rPr>
            </w:pPr>
            <w:r w:rsidRPr="007E7892">
              <w:rPr>
                <w:b/>
                <w:color w:val="FFFFFF" w:themeColor="background1"/>
                <w:lang w:val="en-US" w:eastAsia="ko-KR"/>
              </w:rPr>
              <w:t>Peer Advisor</w:t>
            </w:r>
          </w:p>
        </w:tc>
        <w:tc>
          <w:tcPr>
            <w:tcW w:w="2340" w:type="dxa"/>
            <w:tcBorders>
              <w:top w:val="single" w:sz="4" w:space="0" w:color="auto"/>
              <w:left w:val="nil"/>
              <w:bottom w:val="single" w:sz="4" w:space="0" w:color="auto"/>
              <w:right w:val="single" w:sz="4" w:space="0" w:color="auto"/>
            </w:tcBorders>
            <w:shd w:val="clear" w:color="auto" w:fill="185980"/>
            <w:noWrap/>
            <w:vAlign w:val="center"/>
            <w:hideMark/>
          </w:tcPr>
          <w:p w14:paraId="04BEE674" w14:textId="77777777" w:rsidR="007E7892" w:rsidRPr="007E7892" w:rsidRDefault="007E7892" w:rsidP="007E7892">
            <w:pPr>
              <w:rPr>
                <w:b/>
                <w:color w:val="FFFFFF" w:themeColor="background1"/>
                <w:lang w:val="en-US" w:eastAsia="ko-KR"/>
              </w:rPr>
            </w:pPr>
            <w:r w:rsidRPr="007E7892">
              <w:rPr>
                <w:b/>
                <w:color w:val="FFFFFF" w:themeColor="background1"/>
                <w:lang w:val="en-US" w:eastAsia="ko-KR"/>
              </w:rPr>
              <w:t>Partner Peer Advisor</w:t>
            </w:r>
          </w:p>
        </w:tc>
        <w:tc>
          <w:tcPr>
            <w:tcW w:w="2430" w:type="dxa"/>
            <w:tcBorders>
              <w:top w:val="single" w:sz="4" w:space="0" w:color="auto"/>
              <w:left w:val="nil"/>
              <w:bottom w:val="single" w:sz="4" w:space="0" w:color="auto"/>
              <w:right w:val="single" w:sz="4" w:space="0" w:color="auto"/>
            </w:tcBorders>
            <w:shd w:val="clear" w:color="auto" w:fill="185980"/>
            <w:noWrap/>
            <w:vAlign w:val="center"/>
            <w:hideMark/>
          </w:tcPr>
          <w:p w14:paraId="2A9B9049" w14:textId="77777777" w:rsidR="007E7892" w:rsidRPr="007E7892" w:rsidRDefault="007E7892" w:rsidP="007E7892">
            <w:pPr>
              <w:rPr>
                <w:color w:val="FFFFFF" w:themeColor="background1"/>
                <w:lang w:val="en-US" w:eastAsia="ko-KR"/>
              </w:rPr>
            </w:pPr>
            <w:r w:rsidRPr="007E7892">
              <w:rPr>
                <w:b/>
                <w:color w:val="FFFFFF" w:themeColor="background1"/>
                <w:lang w:val="en-US" w:eastAsia="ko-KR"/>
              </w:rPr>
              <w:t xml:space="preserve">Amount </w:t>
            </w:r>
            <w:r w:rsidRPr="007E7892">
              <w:rPr>
                <w:rFonts w:hint="eastAsia"/>
                <w:color w:val="FFFFFF" w:themeColor="background1"/>
                <w:lang w:val="en-US" w:eastAsia="ko-KR"/>
              </w:rPr>
              <w:t>(in USD)</w:t>
            </w:r>
          </w:p>
        </w:tc>
      </w:tr>
      <w:tr w:rsidR="007E7892" w:rsidRPr="007E7892" w14:paraId="024B42D4" w14:textId="77777777">
        <w:trPr>
          <w:trHeight w:val="320"/>
        </w:trPr>
        <w:tc>
          <w:tcPr>
            <w:tcW w:w="1705" w:type="dxa"/>
            <w:tcBorders>
              <w:top w:val="nil"/>
              <w:left w:val="single" w:sz="4" w:space="0" w:color="auto"/>
              <w:bottom w:val="single" w:sz="4" w:space="0" w:color="auto"/>
              <w:right w:val="single" w:sz="4" w:space="0" w:color="auto"/>
            </w:tcBorders>
            <w:noWrap/>
          </w:tcPr>
          <w:p w14:paraId="37BEF223" w14:textId="2C816E99" w:rsidR="007E7892" w:rsidRPr="007E7892" w:rsidRDefault="00830666" w:rsidP="007E7892">
            <w:pPr>
              <w:rPr>
                <w:b/>
                <w:bCs/>
                <w:lang w:val="en-US" w:eastAsia="ko-KR"/>
              </w:rPr>
            </w:pPr>
            <w:r>
              <w:rPr>
                <w:b/>
                <w:bCs/>
                <w:lang w:val="en-US" w:eastAsia="ko-KR"/>
              </w:rPr>
              <w:t>Zambia</w:t>
            </w:r>
          </w:p>
        </w:tc>
        <w:tc>
          <w:tcPr>
            <w:tcW w:w="2430" w:type="dxa"/>
            <w:tcBorders>
              <w:top w:val="single" w:sz="4" w:space="0" w:color="auto"/>
              <w:left w:val="nil"/>
              <w:bottom w:val="single" w:sz="4" w:space="0" w:color="auto"/>
              <w:right w:val="single" w:sz="4" w:space="0" w:color="auto"/>
            </w:tcBorders>
          </w:tcPr>
          <w:p w14:paraId="335C0960" w14:textId="19FBB93E" w:rsidR="007E7892" w:rsidRPr="007E7892" w:rsidRDefault="0076571D" w:rsidP="007E7892">
            <w:pPr>
              <w:rPr>
                <w:lang w:val="en-US" w:eastAsia="ko-KR"/>
              </w:rPr>
            </w:pPr>
            <w:r>
              <w:rPr>
                <w:lang w:val="en-US" w:eastAsia="ko-KR"/>
              </w:rPr>
              <w:t>May 2025</w:t>
            </w:r>
          </w:p>
        </w:tc>
        <w:tc>
          <w:tcPr>
            <w:tcW w:w="2070" w:type="dxa"/>
            <w:tcBorders>
              <w:top w:val="single" w:sz="4" w:space="0" w:color="auto"/>
              <w:left w:val="single" w:sz="4" w:space="0" w:color="auto"/>
              <w:bottom w:val="single" w:sz="4" w:space="0" w:color="auto"/>
              <w:right w:val="single" w:sz="4" w:space="0" w:color="auto"/>
            </w:tcBorders>
            <w:noWrap/>
          </w:tcPr>
          <w:p w14:paraId="6CE0677D" w14:textId="036F818E" w:rsidR="007E7892" w:rsidRPr="007E7892" w:rsidRDefault="00316523" w:rsidP="007E7892">
            <w:pPr>
              <w:rPr>
                <w:lang w:val="en-US" w:eastAsia="ko-KR"/>
              </w:rPr>
            </w:pPr>
            <w:r w:rsidRPr="00316523">
              <w:rPr>
                <w:lang w:eastAsia="ko-KR"/>
              </w:rPr>
              <w:t>WFP</w:t>
            </w:r>
          </w:p>
        </w:tc>
        <w:tc>
          <w:tcPr>
            <w:tcW w:w="1890" w:type="dxa"/>
            <w:tcBorders>
              <w:top w:val="nil"/>
              <w:left w:val="nil"/>
              <w:bottom w:val="single" w:sz="4" w:space="0" w:color="auto"/>
              <w:right w:val="single" w:sz="4" w:space="0" w:color="auto"/>
            </w:tcBorders>
            <w:noWrap/>
          </w:tcPr>
          <w:p w14:paraId="77EF086A" w14:textId="16E5FB79" w:rsidR="007E7892" w:rsidRPr="007E7892" w:rsidRDefault="00E66E9A" w:rsidP="007E7892">
            <w:pPr>
              <w:rPr>
                <w:lang w:val="en-US" w:eastAsia="ko-KR"/>
              </w:rPr>
            </w:pPr>
            <w:r w:rsidRPr="00E66E9A">
              <w:rPr>
                <w:lang w:eastAsia="ko-KR"/>
              </w:rPr>
              <w:t>UK Met Office</w:t>
            </w:r>
          </w:p>
        </w:tc>
        <w:tc>
          <w:tcPr>
            <w:tcW w:w="2340" w:type="dxa"/>
            <w:tcBorders>
              <w:top w:val="nil"/>
              <w:left w:val="nil"/>
              <w:bottom w:val="single" w:sz="4" w:space="0" w:color="auto"/>
              <w:right w:val="single" w:sz="4" w:space="0" w:color="auto"/>
            </w:tcBorders>
            <w:noWrap/>
          </w:tcPr>
          <w:p w14:paraId="2822BAD4" w14:textId="1146E645" w:rsidR="007E7892" w:rsidRPr="007E7892" w:rsidRDefault="007E7892" w:rsidP="007E7892">
            <w:pPr>
              <w:rPr>
                <w:lang w:val="en-US" w:eastAsia="ko-KR"/>
              </w:rPr>
            </w:pPr>
          </w:p>
        </w:tc>
        <w:tc>
          <w:tcPr>
            <w:tcW w:w="2430" w:type="dxa"/>
            <w:tcBorders>
              <w:top w:val="nil"/>
              <w:left w:val="nil"/>
              <w:bottom w:val="single" w:sz="4" w:space="0" w:color="auto"/>
              <w:right w:val="single" w:sz="4" w:space="0" w:color="auto"/>
            </w:tcBorders>
            <w:noWrap/>
          </w:tcPr>
          <w:p w14:paraId="57661548" w14:textId="3770C4D9" w:rsidR="007E7892" w:rsidRPr="007E7892" w:rsidRDefault="006311F9" w:rsidP="00591A0B">
            <w:pPr>
              <w:jc w:val="right"/>
              <w:rPr>
                <w:lang w:val="en-US" w:eastAsia="ko-KR"/>
              </w:rPr>
            </w:pPr>
            <w:r w:rsidRPr="006311F9">
              <w:rPr>
                <w:lang w:eastAsia="ko-KR"/>
              </w:rPr>
              <w:t>3,627,540.00</w:t>
            </w:r>
          </w:p>
        </w:tc>
      </w:tr>
      <w:tr w:rsidR="007E7892" w:rsidRPr="007E7892" w14:paraId="0D0336EA" w14:textId="77777777">
        <w:trPr>
          <w:trHeight w:val="320"/>
        </w:trPr>
        <w:tc>
          <w:tcPr>
            <w:tcW w:w="1705" w:type="dxa"/>
            <w:tcBorders>
              <w:top w:val="nil"/>
              <w:left w:val="single" w:sz="4" w:space="0" w:color="auto"/>
              <w:bottom w:val="single" w:sz="4" w:space="0" w:color="auto"/>
              <w:right w:val="single" w:sz="4" w:space="0" w:color="auto"/>
            </w:tcBorders>
            <w:noWrap/>
          </w:tcPr>
          <w:p w14:paraId="1C4F6010" w14:textId="748F05A9" w:rsidR="007E7892" w:rsidRPr="007E7892" w:rsidRDefault="00830666" w:rsidP="007E7892">
            <w:pPr>
              <w:rPr>
                <w:b/>
                <w:bCs/>
                <w:lang w:val="en-US" w:eastAsia="ko-KR"/>
              </w:rPr>
            </w:pPr>
            <w:r>
              <w:rPr>
                <w:b/>
                <w:bCs/>
                <w:lang w:val="en-US" w:eastAsia="ko-KR"/>
              </w:rPr>
              <w:t>Cuba</w:t>
            </w:r>
          </w:p>
        </w:tc>
        <w:tc>
          <w:tcPr>
            <w:tcW w:w="2430" w:type="dxa"/>
            <w:tcBorders>
              <w:top w:val="single" w:sz="4" w:space="0" w:color="auto"/>
              <w:left w:val="nil"/>
              <w:bottom w:val="single" w:sz="4" w:space="0" w:color="auto"/>
              <w:right w:val="single" w:sz="4" w:space="0" w:color="auto"/>
            </w:tcBorders>
          </w:tcPr>
          <w:p w14:paraId="2C24FD43" w14:textId="3D953813" w:rsidR="007E7892" w:rsidRPr="007E7892" w:rsidRDefault="0076571D" w:rsidP="007E7892">
            <w:pPr>
              <w:rPr>
                <w:lang w:val="en-US" w:eastAsia="ko-KR"/>
              </w:rPr>
            </w:pPr>
            <w:r>
              <w:rPr>
                <w:lang w:val="en-US" w:eastAsia="ko-KR"/>
              </w:rPr>
              <w:t>May 2025</w:t>
            </w:r>
          </w:p>
        </w:tc>
        <w:tc>
          <w:tcPr>
            <w:tcW w:w="2070" w:type="dxa"/>
            <w:tcBorders>
              <w:top w:val="single" w:sz="4" w:space="0" w:color="auto"/>
              <w:left w:val="single" w:sz="4" w:space="0" w:color="auto"/>
              <w:bottom w:val="single" w:sz="4" w:space="0" w:color="auto"/>
              <w:right w:val="single" w:sz="4" w:space="0" w:color="auto"/>
            </w:tcBorders>
            <w:noWrap/>
          </w:tcPr>
          <w:p w14:paraId="2214CDB5" w14:textId="7D37FABB" w:rsidR="007E7892" w:rsidRPr="007E7892" w:rsidRDefault="00917907" w:rsidP="007E7892">
            <w:pPr>
              <w:rPr>
                <w:lang w:val="en-US" w:eastAsia="ko-KR"/>
              </w:rPr>
            </w:pPr>
            <w:r w:rsidRPr="00917907">
              <w:rPr>
                <w:lang w:eastAsia="ko-KR"/>
              </w:rPr>
              <w:t>UNDP</w:t>
            </w:r>
          </w:p>
        </w:tc>
        <w:tc>
          <w:tcPr>
            <w:tcW w:w="1890" w:type="dxa"/>
            <w:tcBorders>
              <w:top w:val="nil"/>
              <w:left w:val="nil"/>
              <w:bottom w:val="single" w:sz="4" w:space="0" w:color="auto"/>
              <w:right w:val="single" w:sz="4" w:space="0" w:color="auto"/>
            </w:tcBorders>
            <w:noWrap/>
          </w:tcPr>
          <w:p w14:paraId="13244E7B" w14:textId="44B1EEA9" w:rsidR="007E7892" w:rsidRPr="007E7892" w:rsidRDefault="00E66E9A" w:rsidP="007E7892">
            <w:pPr>
              <w:rPr>
                <w:lang w:val="en-US" w:eastAsia="ko-KR"/>
              </w:rPr>
            </w:pPr>
            <w:r w:rsidRPr="00E66E9A">
              <w:rPr>
                <w:lang w:eastAsia="ko-KR"/>
              </w:rPr>
              <w:t>AEMET Spain</w:t>
            </w:r>
          </w:p>
        </w:tc>
        <w:tc>
          <w:tcPr>
            <w:tcW w:w="2340" w:type="dxa"/>
            <w:tcBorders>
              <w:top w:val="nil"/>
              <w:left w:val="nil"/>
              <w:bottom w:val="single" w:sz="4" w:space="0" w:color="auto"/>
              <w:right w:val="single" w:sz="4" w:space="0" w:color="auto"/>
            </w:tcBorders>
            <w:noWrap/>
          </w:tcPr>
          <w:p w14:paraId="72E38139" w14:textId="7A8BE22B" w:rsidR="007E7892" w:rsidRPr="007E7892" w:rsidRDefault="007E7892" w:rsidP="007E7892">
            <w:pPr>
              <w:rPr>
                <w:lang w:val="en-US" w:eastAsia="ko-KR"/>
              </w:rPr>
            </w:pPr>
          </w:p>
        </w:tc>
        <w:tc>
          <w:tcPr>
            <w:tcW w:w="2430" w:type="dxa"/>
            <w:tcBorders>
              <w:top w:val="nil"/>
              <w:left w:val="nil"/>
              <w:bottom w:val="single" w:sz="4" w:space="0" w:color="auto"/>
              <w:right w:val="single" w:sz="4" w:space="0" w:color="auto"/>
            </w:tcBorders>
            <w:noWrap/>
          </w:tcPr>
          <w:p w14:paraId="1CE15EEC" w14:textId="7FD8CAD6" w:rsidR="007E7892" w:rsidRPr="007E7892" w:rsidRDefault="00FD111F" w:rsidP="00591A0B">
            <w:pPr>
              <w:jc w:val="right"/>
              <w:rPr>
                <w:lang w:val="en-US" w:eastAsia="ko-KR"/>
              </w:rPr>
            </w:pPr>
            <w:r w:rsidRPr="00FD111F">
              <w:rPr>
                <w:lang w:eastAsia="ko-KR"/>
              </w:rPr>
              <w:t>6,523,639.00</w:t>
            </w:r>
          </w:p>
        </w:tc>
      </w:tr>
      <w:tr w:rsidR="007E7892" w:rsidRPr="007E7892" w14:paraId="7DFEC225" w14:textId="77777777" w:rsidTr="00830666">
        <w:trPr>
          <w:trHeight w:val="320"/>
        </w:trPr>
        <w:tc>
          <w:tcPr>
            <w:tcW w:w="1705" w:type="dxa"/>
            <w:tcBorders>
              <w:top w:val="nil"/>
              <w:left w:val="single" w:sz="4" w:space="0" w:color="auto"/>
              <w:bottom w:val="single" w:sz="4" w:space="0" w:color="auto"/>
              <w:right w:val="single" w:sz="4" w:space="0" w:color="auto"/>
            </w:tcBorders>
            <w:noWrap/>
            <w:hideMark/>
          </w:tcPr>
          <w:p w14:paraId="4F5E64CE" w14:textId="7EB49289" w:rsidR="007E7892" w:rsidRPr="007E7892" w:rsidRDefault="005777A2" w:rsidP="007E7892">
            <w:pPr>
              <w:rPr>
                <w:b/>
                <w:bCs/>
                <w:lang w:val="en-US" w:eastAsia="ko-KR"/>
              </w:rPr>
            </w:pPr>
            <w:r>
              <w:rPr>
                <w:b/>
                <w:bCs/>
                <w:lang w:val="en-US" w:eastAsia="ko-KR"/>
              </w:rPr>
              <w:t>Bangladesh</w:t>
            </w:r>
          </w:p>
        </w:tc>
        <w:tc>
          <w:tcPr>
            <w:tcW w:w="2430" w:type="dxa"/>
            <w:tcBorders>
              <w:top w:val="single" w:sz="4" w:space="0" w:color="auto"/>
              <w:left w:val="nil"/>
              <w:bottom w:val="single" w:sz="4" w:space="0" w:color="auto"/>
              <w:right w:val="single" w:sz="4" w:space="0" w:color="auto"/>
            </w:tcBorders>
          </w:tcPr>
          <w:p w14:paraId="734E1CB5" w14:textId="594EE340" w:rsidR="007E7892" w:rsidRPr="007E7892" w:rsidRDefault="0076571D" w:rsidP="007E7892">
            <w:pPr>
              <w:rPr>
                <w:lang w:val="en-US" w:eastAsia="ko-KR"/>
              </w:rPr>
            </w:pPr>
            <w:r>
              <w:rPr>
                <w:lang w:val="en-US" w:eastAsia="ko-KR"/>
              </w:rPr>
              <w:t>May 2025</w:t>
            </w:r>
          </w:p>
        </w:tc>
        <w:tc>
          <w:tcPr>
            <w:tcW w:w="2070" w:type="dxa"/>
            <w:tcBorders>
              <w:top w:val="single" w:sz="4" w:space="0" w:color="auto"/>
              <w:left w:val="single" w:sz="4" w:space="0" w:color="auto"/>
              <w:bottom w:val="single" w:sz="4" w:space="0" w:color="auto"/>
              <w:right w:val="single" w:sz="4" w:space="0" w:color="auto"/>
            </w:tcBorders>
            <w:noWrap/>
          </w:tcPr>
          <w:p w14:paraId="16B03ED9" w14:textId="3630DB90" w:rsidR="007E7892" w:rsidRPr="007E7892" w:rsidRDefault="00917907" w:rsidP="007E7892">
            <w:pPr>
              <w:rPr>
                <w:lang w:val="en-US" w:eastAsia="ko-KR"/>
              </w:rPr>
            </w:pPr>
            <w:r w:rsidRPr="00917907">
              <w:rPr>
                <w:lang w:eastAsia="ko-KR"/>
              </w:rPr>
              <w:t>IsDB</w:t>
            </w:r>
          </w:p>
        </w:tc>
        <w:tc>
          <w:tcPr>
            <w:tcW w:w="1890" w:type="dxa"/>
            <w:tcBorders>
              <w:top w:val="nil"/>
              <w:left w:val="nil"/>
              <w:bottom w:val="single" w:sz="4" w:space="0" w:color="auto"/>
              <w:right w:val="single" w:sz="4" w:space="0" w:color="auto"/>
            </w:tcBorders>
            <w:noWrap/>
          </w:tcPr>
          <w:p w14:paraId="0267BE50" w14:textId="7BE84286" w:rsidR="007E7892" w:rsidRPr="007E7892" w:rsidRDefault="00E66E9A" w:rsidP="007E7892">
            <w:pPr>
              <w:rPr>
                <w:lang w:val="en-US" w:eastAsia="ko-KR"/>
              </w:rPr>
            </w:pPr>
            <w:r w:rsidRPr="00E66E9A">
              <w:rPr>
                <w:lang w:eastAsia="ko-KR"/>
              </w:rPr>
              <w:t>MET Norway</w:t>
            </w:r>
          </w:p>
        </w:tc>
        <w:tc>
          <w:tcPr>
            <w:tcW w:w="2340" w:type="dxa"/>
            <w:tcBorders>
              <w:top w:val="nil"/>
              <w:left w:val="nil"/>
              <w:bottom w:val="single" w:sz="4" w:space="0" w:color="auto"/>
              <w:right w:val="single" w:sz="4" w:space="0" w:color="auto"/>
            </w:tcBorders>
            <w:noWrap/>
          </w:tcPr>
          <w:p w14:paraId="60FCAE5F" w14:textId="037FA4B6" w:rsidR="007E7892" w:rsidRPr="007E7892" w:rsidRDefault="00AE5AF2" w:rsidP="007E7892">
            <w:pPr>
              <w:rPr>
                <w:lang w:val="en-US" w:eastAsia="ko-KR"/>
              </w:rPr>
            </w:pPr>
            <w:r w:rsidRPr="00AE5AF2">
              <w:rPr>
                <w:lang w:eastAsia="ko-KR"/>
              </w:rPr>
              <w:t>China Meteorological Administration</w:t>
            </w:r>
          </w:p>
        </w:tc>
        <w:tc>
          <w:tcPr>
            <w:tcW w:w="2430" w:type="dxa"/>
            <w:tcBorders>
              <w:top w:val="nil"/>
              <w:left w:val="nil"/>
              <w:bottom w:val="single" w:sz="4" w:space="0" w:color="auto"/>
              <w:right w:val="single" w:sz="4" w:space="0" w:color="auto"/>
            </w:tcBorders>
            <w:noWrap/>
          </w:tcPr>
          <w:p w14:paraId="58BA4BE7" w14:textId="72673D28" w:rsidR="007E7892" w:rsidRPr="007E7892" w:rsidRDefault="00FD111F" w:rsidP="00591A0B">
            <w:pPr>
              <w:jc w:val="right"/>
              <w:rPr>
                <w:lang w:val="en-US" w:eastAsia="ko-KR"/>
              </w:rPr>
            </w:pPr>
            <w:r w:rsidRPr="00FD111F">
              <w:rPr>
                <w:lang w:eastAsia="ko-KR"/>
              </w:rPr>
              <w:t>4,954,865.00</w:t>
            </w:r>
          </w:p>
        </w:tc>
      </w:tr>
      <w:tr w:rsidR="007E7892" w:rsidRPr="007E7892" w14:paraId="6ADC3EFE" w14:textId="77777777" w:rsidTr="00466DEE">
        <w:trPr>
          <w:trHeight w:val="614"/>
        </w:trPr>
        <w:tc>
          <w:tcPr>
            <w:tcW w:w="1705" w:type="dxa"/>
            <w:tcBorders>
              <w:top w:val="nil"/>
              <w:left w:val="single" w:sz="4" w:space="0" w:color="auto"/>
              <w:bottom w:val="single" w:sz="4" w:space="0" w:color="auto"/>
              <w:right w:val="single" w:sz="4" w:space="0" w:color="auto"/>
            </w:tcBorders>
            <w:noWrap/>
          </w:tcPr>
          <w:p w14:paraId="61E246B7" w14:textId="7B31F6C7" w:rsidR="007E7892" w:rsidRPr="007E7892" w:rsidRDefault="005777A2" w:rsidP="007E7892">
            <w:pPr>
              <w:rPr>
                <w:b/>
                <w:bCs/>
                <w:lang w:val="en-US" w:eastAsia="ko-KR"/>
              </w:rPr>
            </w:pPr>
            <w:r>
              <w:rPr>
                <w:b/>
                <w:bCs/>
                <w:lang w:val="en-US" w:eastAsia="ko-KR"/>
              </w:rPr>
              <w:t>Guyana</w:t>
            </w:r>
          </w:p>
        </w:tc>
        <w:tc>
          <w:tcPr>
            <w:tcW w:w="2430" w:type="dxa"/>
            <w:tcBorders>
              <w:top w:val="single" w:sz="4" w:space="0" w:color="auto"/>
              <w:left w:val="nil"/>
              <w:bottom w:val="single" w:sz="4" w:space="0" w:color="auto"/>
              <w:right w:val="single" w:sz="4" w:space="0" w:color="auto"/>
            </w:tcBorders>
          </w:tcPr>
          <w:p w14:paraId="40BFC82D" w14:textId="5A6D104D" w:rsidR="007E7892" w:rsidRPr="007E7892" w:rsidRDefault="0076571D" w:rsidP="007E7892">
            <w:pPr>
              <w:rPr>
                <w:lang w:val="en-US" w:eastAsia="ko-KR"/>
              </w:rPr>
            </w:pPr>
            <w:r>
              <w:rPr>
                <w:lang w:val="en-US" w:eastAsia="ko-KR"/>
              </w:rPr>
              <w:t>May 2025</w:t>
            </w:r>
          </w:p>
        </w:tc>
        <w:tc>
          <w:tcPr>
            <w:tcW w:w="2070" w:type="dxa"/>
            <w:tcBorders>
              <w:top w:val="single" w:sz="4" w:space="0" w:color="auto"/>
              <w:left w:val="single" w:sz="4" w:space="0" w:color="auto"/>
              <w:bottom w:val="single" w:sz="4" w:space="0" w:color="auto"/>
              <w:right w:val="single" w:sz="4" w:space="0" w:color="auto"/>
            </w:tcBorders>
            <w:noWrap/>
          </w:tcPr>
          <w:p w14:paraId="186F3D31" w14:textId="34A093D8" w:rsidR="007E7892" w:rsidRPr="007E7892" w:rsidRDefault="00917907" w:rsidP="007E7892">
            <w:pPr>
              <w:rPr>
                <w:lang w:val="en-US" w:eastAsia="ko-KR"/>
              </w:rPr>
            </w:pPr>
            <w:r w:rsidRPr="00917907">
              <w:rPr>
                <w:lang w:eastAsia="ko-KR"/>
              </w:rPr>
              <w:t>IDB</w:t>
            </w:r>
          </w:p>
        </w:tc>
        <w:tc>
          <w:tcPr>
            <w:tcW w:w="1890" w:type="dxa"/>
            <w:tcBorders>
              <w:top w:val="nil"/>
              <w:left w:val="nil"/>
              <w:bottom w:val="single" w:sz="4" w:space="0" w:color="auto"/>
              <w:right w:val="single" w:sz="4" w:space="0" w:color="auto"/>
            </w:tcBorders>
            <w:noWrap/>
          </w:tcPr>
          <w:p w14:paraId="7E8B4847" w14:textId="02010F19" w:rsidR="007E7892" w:rsidRPr="007E7892" w:rsidRDefault="00AE5AF2" w:rsidP="007E7892">
            <w:pPr>
              <w:rPr>
                <w:lang w:val="en-US" w:eastAsia="ko-KR"/>
              </w:rPr>
            </w:pPr>
            <w:r w:rsidRPr="00AE5AF2">
              <w:rPr>
                <w:lang w:eastAsia="ko-KR"/>
              </w:rPr>
              <w:t>GeoSphere Austria</w:t>
            </w:r>
          </w:p>
        </w:tc>
        <w:tc>
          <w:tcPr>
            <w:tcW w:w="2340" w:type="dxa"/>
            <w:tcBorders>
              <w:top w:val="nil"/>
              <w:left w:val="nil"/>
              <w:bottom w:val="single" w:sz="4" w:space="0" w:color="auto"/>
              <w:right w:val="single" w:sz="4" w:space="0" w:color="auto"/>
            </w:tcBorders>
            <w:noWrap/>
          </w:tcPr>
          <w:p w14:paraId="4060D6EF" w14:textId="77777777" w:rsidR="007E7892" w:rsidRPr="007E7892" w:rsidRDefault="007E7892" w:rsidP="007E7892">
            <w:pPr>
              <w:rPr>
                <w:lang w:val="en-US" w:eastAsia="ko-KR"/>
              </w:rPr>
            </w:pPr>
          </w:p>
        </w:tc>
        <w:tc>
          <w:tcPr>
            <w:tcW w:w="2430" w:type="dxa"/>
            <w:tcBorders>
              <w:top w:val="nil"/>
              <w:left w:val="nil"/>
              <w:bottom w:val="single" w:sz="4" w:space="0" w:color="auto"/>
              <w:right w:val="single" w:sz="4" w:space="0" w:color="auto"/>
            </w:tcBorders>
            <w:noWrap/>
          </w:tcPr>
          <w:p w14:paraId="5E227480" w14:textId="50DA9DD5" w:rsidR="007E7892" w:rsidRPr="007E7892" w:rsidRDefault="00FD111F" w:rsidP="00591A0B">
            <w:pPr>
              <w:jc w:val="right"/>
              <w:rPr>
                <w:lang w:val="en-US" w:eastAsia="ko-KR"/>
              </w:rPr>
            </w:pPr>
            <w:r w:rsidRPr="00FD111F">
              <w:rPr>
                <w:lang w:eastAsia="ko-KR"/>
              </w:rPr>
              <w:t>1,931,350.00</w:t>
            </w:r>
          </w:p>
        </w:tc>
      </w:tr>
      <w:tr w:rsidR="007E7892" w:rsidRPr="007E7892" w14:paraId="7D6290F1" w14:textId="77777777">
        <w:trPr>
          <w:trHeight w:val="320"/>
        </w:trPr>
        <w:tc>
          <w:tcPr>
            <w:tcW w:w="1705" w:type="dxa"/>
            <w:tcBorders>
              <w:top w:val="nil"/>
              <w:left w:val="single" w:sz="4" w:space="0" w:color="auto"/>
              <w:bottom w:val="single" w:sz="4" w:space="0" w:color="auto"/>
              <w:right w:val="single" w:sz="4" w:space="0" w:color="auto"/>
            </w:tcBorders>
            <w:noWrap/>
          </w:tcPr>
          <w:p w14:paraId="5A1C251D" w14:textId="7C2A276E" w:rsidR="007E7892" w:rsidRPr="007E7892" w:rsidRDefault="005777A2" w:rsidP="007E7892">
            <w:pPr>
              <w:rPr>
                <w:b/>
                <w:bCs/>
                <w:lang w:val="en-US" w:eastAsia="ko-KR"/>
              </w:rPr>
            </w:pPr>
            <w:r w:rsidRPr="005777A2">
              <w:rPr>
                <w:b/>
                <w:bCs/>
                <w:lang w:eastAsia="ko-KR"/>
              </w:rPr>
              <w:t>Democratic Republic of the Congo</w:t>
            </w:r>
          </w:p>
        </w:tc>
        <w:tc>
          <w:tcPr>
            <w:tcW w:w="2430" w:type="dxa"/>
            <w:tcBorders>
              <w:top w:val="single" w:sz="4" w:space="0" w:color="auto"/>
              <w:left w:val="nil"/>
              <w:bottom w:val="single" w:sz="4" w:space="0" w:color="auto"/>
              <w:right w:val="single" w:sz="4" w:space="0" w:color="auto"/>
            </w:tcBorders>
          </w:tcPr>
          <w:p w14:paraId="04C8BB35" w14:textId="45D49D78" w:rsidR="007E7892" w:rsidRPr="007E7892" w:rsidRDefault="0076571D" w:rsidP="007E7892">
            <w:pPr>
              <w:rPr>
                <w:lang w:val="en-US" w:eastAsia="ko-KR"/>
              </w:rPr>
            </w:pPr>
            <w:r>
              <w:rPr>
                <w:lang w:val="en-US" w:eastAsia="ko-KR"/>
              </w:rPr>
              <w:t>May 2025</w:t>
            </w:r>
          </w:p>
        </w:tc>
        <w:tc>
          <w:tcPr>
            <w:tcW w:w="2070" w:type="dxa"/>
            <w:tcBorders>
              <w:top w:val="single" w:sz="4" w:space="0" w:color="auto"/>
              <w:left w:val="single" w:sz="4" w:space="0" w:color="auto"/>
              <w:bottom w:val="single" w:sz="4" w:space="0" w:color="auto"/>
              <w:right w:val="single" w:sz="4" w:space="0" w:color="auto"/>
            </w:tcBorders>
            <w:noWrap/>
          </w:tcPr>
          <w:p w14:paraId="23C2826C" w14:textId="1528BEAE" w:rsidR="007E7892" w:rsidRPr="007E7892" w:rsidRDefault="00917907" w:rsidP="007E7892">
            <w:pPr>
              <w:rPr>
                <w:lang w:val="en-US" w:eastAsia="ko-KR"/>
              </w:rPr>
            </w:pPr>
            <w:r w:rsidRPr="00917907">
              <w:rPr>
                <w:lang w:eastAsia="ko-KR"/>
              </w:rPr>
              <w:t>WFP</w:t>
            </w:r>
          </w:p>
        </w:tc>
        <w:tc>
          <w:tcPr>
            <w:tcW w:w="1890" w:type="dxa"/>
            <w:tcBorders>
              <w:top w:val="nil"/>
              <w:left w:val="nil"/>
              <w:bottom w:val="single" w:sz="4" w:space="0" w:color="auto"/>
              <w:right w:val="single" w:sz="4" w:space="0" w:color="auto"/>
            </w:tcBorders>
            <w:noWrap/>
          </w:tcPr>
          <w:p w14:paraId="78123C7A" w14:textId="7C3AA936" w:rsidR="007E7892" w:rsidRPr="007E7892" w:rsidRDefault="00AE5AF2" w:rsidP="007E7892">
            <w:pPr>
              <w:rPr>
                <w:lang w:val="en-US" w:eastAsia="ko-KR"/>
              </w:rPr>
            </w:pPr>
            <w:r w:rsidRPr="00AE5AF2">
              <w:rPr>
                <w:lang w:eastAsia="ko-KR"/>
              </w:rPr>
              <w:t>MeteoSwiss</w:t>
            </w:r>
          </w:p>
        </w:tc>
        <w:tc>
          <w:tcPr>
            <w:tcW w:w="2340" w:type="dxa"/>
            <w:tcBorders>
              <w:top w:val="nil"/>
              <w:left w:val="nil"/>
              <w:bottom w:val="single" w:sz="4" w:space="0" w:color="auto"/>
              <w:right w:val="single" w:sz="4" w:space="0" w:color="auto"/>
            </w:tcBorders>
            <w:noWrap/>
          </w:tcPr>
          <w:p w14:paraId="6EA70CF4" w14:textId="77777777" w:rsidR="007E7892" w:rsidRPr="007E7892" w:rsidRDefault="007E7892" w:rsidP="007E7892">
            <w:pPr>
              <w:rPr>
                <w:lang w:val="en-US" w:eastAsia="ko-KR"/>
              </w:rPr>
            </w:pPr>
          </w:p>
        </w:tc>
        <w:tc>
          <w:tcPr>
            <w:tcW w:w="2430" w:type="dxa"/>
            <w:tcBorders>
              <w:top w:val="nil"/>
              <w:left w:val="nil"/>
              <w:bottom w:val="single" w:sz="4" w:space="0" w:color="auto"/>
              <w:right w:val="single" w:sz="4" w:space="0" w:color="auto"/>
            </w:tcBorders>
            <w:noWrap/>
          </w:tcPr>
          <w:p w14:paraId="19A8D791" w14:textId="690C5BD0" w:rsidR="007E7892" w:rsidRPr="007E7892" w:rsidRDefault="00AB1AAD" w:rsidP="00591A0B">
            <w:pPr>
              <w:jc w:val="right"/>
              <w:rPr>
                <w:lang w:val="en-US" w:eastAsia="ko-KR"/>
              </w:rPr>
            </w:pPr>
            <w:r w:rsidRPr="00AB1AAD">
              <w:rPr>
                <w:lang w:eastAsia="ko-KR"/>
              </w:rPr>
              <w:t>2,459,982.52</w:t>
            </w:r>
          </w:p>
        </w:tc>
      </w:tr>
      <w:tr w:rsidR="005777A2" w:rsidRPr="007E7892" w14:paraId="16031DD9" w14:textId="77777777">
        <w:trPr>
          <w:trHeight w:val="320"/>
        </w:trPr>
        <w:tc>
          <w:tcPr>
            <w:tcW w:w="1705" w:type="dxa"/>
            <w:tcBorders>
              <w:top w:val="nil"/>
              <w:left w:val="single" w:sz="4" w:space="0" w:color="auto"/>
              <w:bottom w:val="single" w:sz="4" w:space="0" w:color="auto"/>
              <w:right w:val="single" w:sz="4" w:space="0" w:color="auto"/>
            </w:tcBorders>
            <w:noWrap/>
          </w:tcPr>
          <w:p w14:paraId="717D9CCC" w14:textId="78581D72" w:rsidR="005777A2" w:rsidRPr="005777A2" w:rsidRDefault="00CD1DBC" w:rsidP="006748A5">
            <w:pPr>
              <w:jc w:val="left"/>
              <w:rPr>
                <w:b/>
                <w:bCs/>
                <w:lang w:eastAsia="ko-KR"/>
              </w:rPr>
            </w:pPr>
            <w:r w:rsidRPr="00CD1DBC">
              <w:rPr>
                <w:b/>
                <w:bCs/>
                <w:lang w:eastAsia="ko-KR"/>
              </w:rPr>
              <w:t>São Tomé and Príncipe</w:t>
            </w:r>
          </w:p>
        </w:tc>
        <w:tc>
          <w:tcPr>
            <w:tcW w:w="2430" w:type="dxa"/>
            <w:tcBorders>
              <w:top w:val="single" w:sz="4" w:space="0" w:color="auto"/>
              <w:left w:val="nil"/>
              <w:bottom w:val="single" w:sz="4" w:space="0" w:color="auto"/>
              <w:right w:val="single" w:sz="4" w:space="0" w:color="auto"/>
            </w:tcBorders>
          </w:tcPr>
          <w:p w14:paraId="7AF5455A" w14:textId="1536B130" w:rsidR="005777A2" w:rsidRPr="007E7892" w:rsidRDefault="0076571D" w:rsidP="007E7892">
            <w:pPr>
              <w:rPr>
                <w:lang w:val="en-US" w:eastAsia="ko-KR"/>
              </w:rPr>
            </w:pPr>
            <w:r>
              <w:rPr>
                <w:lang w:val="en-US" w:eastAsia="ko-KR"/>
              </w:rPr>
              <w:t>May 2025</w:t>
            </w:r>
          </w:p>
        </w:tc>
        <w:tc>
          <w:tcPr>
            <w:tcW w:w="2070" w:type="dxa"/>
            <w:tcBorders>
              <w:top w:val="single" w:sz="4" w:space="0" w:color="auto"/>
              <w:left w:val="single" w:sz="4" w:space="0" w:color="auto"/>
              <w:bottom w:val="single" w:sz="4" w:space="0" w:color="auto"/>
              <w:right w:val="single" w:sz="4" w:space="0" w:color="auto"/>
            </w:tcBorders>
            <w:noWrap/>
          </w:tcPr>
          <w:p w14:paraId="2E7288A7" w14:textId="714D4E60" w:rsidR="005777A2" w:rsidRPr="007E7892" w:rsidRDefault="00E66E9A" w:rsidP="007E7892">
            <w:pPr>
              <w:rPr>
                <w:lang w:val="en-US" w:eastAsia="ko-KR"/>
              </w:rPr>
            </w:pPr>
            <w:r w:rsidRPr="00E66E9A">
              <w:rPr>
                <w:lang w:eastAsia="ko-KR"/>
              </w:rPr>
              <w:t>UNDP</w:t>
            </w:r>
          </w:p>
        </w:tc>
        <w:tc>
          <w:tcPr>
            <w:tcW w:w="1890" w:type="dxa"/>
            <w:tcBorders>
              <w:top w:val="nil"/>
              <w:left w:val="nil"/>
              <w:bottom w:val="single" w:sz="4" w:space="0" w:color="auto"/>
              <w:right w:val="single" w:sz="4" w:space="0" w:color="auto"/>
            </w:tcBorders>
            <w:noWrap/>
          </w:tcPr>
          <w:p w14:paraId="7AF14B5A" w14:textId="0E03EBE6" w:rsidR="005777A2" w:rsidRPr="007E7892" w:rsidRDefault="007655DA" w:rsidP="007E7892">
            <w:pPr>
              <w:rPr>
                <w:lang w:val="en-US" w:eastAsia="ko-KR"/>
              </w:rPr>
            </w:pPr>
            <w:r w:rsidRPr="007655DA">
              <w:rPr>
                <w:lang w:eastAsia="ko-KR"/>
              </w:rPr>
              <w:t xml:space="preserve">Royal Netherlands </w:t>
            </w:r>
            <w:r w:rsidRPr="007655DA">
              <w:rPr>
                <w:lang w:eastAsia="ko-KR"/>
              </w:rPr>
              <w:lastRenderedPageBreak/>
              <w:t>Meteorological Institute</w:t>
            </w:r>
          </w:p>
        </w:tc>
        <w:tc>
          <w:tcPr>
            <w:tcW w:w="2340" w:type="dxa"/>
            <w:tcBorders>
              <w:top w:val="nil"/>
              <w:left w:val="nil"/>
              <w:bottom w:val="single" w:sz="4" w:space="0" w:color="auto"/>
              <w:right w:val="single" w:sz="4" w:space="0" w:color="auto"/>
            </w:tcBorders>
            <w:noWrap/>
          </w:tcPr>
          <w:p w14:paraId="15E4AFFD" w14:textId="77777777" w:rsidR="005777A2" w:rsidRPr="007E7892" w:rsidRDefault="005777A2" w:rsidP="007E7892">
            <w:pPr>
              <w:rPr>
                <w:lang w:val="en-US" w:eastAsia="ko-KR"/>
              </w:rPr>
            </w:pPr>
          </w:p>
        </w:tc>
        <w:tc>
          <w:tcPr>
            <w:tcW w:w="2430" w:type="dxa"/>
            <w:tcBorders>
              <w:top w:val="nil"/>
              <w:left w:val="nil"/>
              <w:bottom w:val="single" w:sz="4" w:space="0" w:color="auto"/>
              <w:right w:val="single" w:sz="4" w:space="0" w:color="auto"/>
            </w:tcBorders>
            <w:noWrap/>
          </w:tcPr>
          <w:p w14:paraId="01402CCB" w14:textId="5DAED157" w:rsidR="005777A2" w:rsidRPr="007E7892" w:rsidRDefault="00AB1AAD" w:rsidP="00591A0B">
            <w:pPr>
              <w:jc w:val="right"/>
              <w:rPr>
                <w:lang w:val="en-US" w:eastAsia="ko-KR"/>
              </w:rPr>
            </w:pPr>
            <w:r w:rsidRPr="00AB1AAD">
              <w:rPr>
                <w:lang w:eastAsia="ko-KR"/>
              </w:rPr>
              <w:t>2,907,084.07</w:t>
            </w:r>
          </w:p>
        </w:tc>
      </w:tr>
      <w:tr w:rsidR="007E7892" w:rsidRPr="007E7892" w14:paraId="543545BD" w14:textId="77777777">
        <w:trPr>
          <w:trHeight w:val="320"/>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6AEE7E" w14:textId="77777777" w:rsidR="007E7892" w:rsidRPr="007E7892" w:rsidRDefault="007E7892" w:rsidP="007E7892">
            <w:pPr>
              <w:rPr>
                <w:b/>
                <w:bCs/>
                <w:lang w:val="en-US" w:eastAsia="ko-KR"/>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C24B9" w14:textId="77777777" w:rsidR="007E7892" w:rsidRPr="007E7892" w:rsidRDefault="007E7892" w:rsidP="007E7892">
            <w:pPr>
              <w:rPr>
                <w:b/>
                <w:bCs/>
                <w:lang w:val="en-US" w:eastAsia="ko-KR"/>
              </w:rPr>
            </w:pP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29BBF3" w14:textId="77777777" w:rsidR="007E7892" w:rsidRPr="007E7892" w:rsidRDefault="007E7892" w:rsidP="007E7892">
            <w:pPr>
              <w:rPr>
                <w:b/>
                <w:bCs/>
                <w:lang w:val="en-US" w:eastAsia="ko-KR"/>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1C451A" w14:textId="77777777" w:rsidR="007E7892" w:rsidRPr="007E7892" w:rsidRDefault="007E7892" w:rsidP="007E7892">
            <w:pPr>
              <w:rPr>
                <w:b/>
                <w:bCs/>
                <w:lang w:val="en-US" w:eastAsia="ko-KR"/>
              </w:rPr>
            </w:pP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3B89C" w14:textId="77777777" w:rsidR="007E7892" w:rsidRPr="007E7892" w:rsidRDefault="007E7892" w:rsidP="007E7892">
            <w:pPr>
              <w:rPr>
                <w:b/>
                <w:bCs/>
                <w:lang w:val="en-US" w:eastAsia="ko-KR"/>
              </w:rPr>
            </w:pPr>
            <w:r w:rsidRPr="007E7892">
              <w:rPr>
                <w:b/>
                <w:bCs/>
                <w:lang w:val="en-US" w:eastAsia="ko-KR"/>
              </w:rPr>
              <w:t>Total</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1DFB0E" w14:textId="269DDCA0" w:rsidR="007E7892" w:rsidRPr="007E7892" w:rsidRDefault="007E7892" w:rsidP="00591A0B">
            <w:pPr>
              <w:jc w:val="right"/>
              <w:rPr>
                <w:b/>
                <w:bCs/>
                <w:lang w:val="en-US" w:eastAsia="ko-KR"/>
              </w:rPr>
            </w:pPr>
            <w:r w:rsidRPr="007E7892">
              <w:rPr>
                <w:rFonts w:hint="eastAsia"/>
                <w:b/>
                <w:bCs/>
                <w:lang w:val="en-US" w:eastAsia="ko-KR"/>
              </w:rPr>
              <w:t xml:space="preserve">USD </w:t>
            </w:r>
            <w:r w:rsidR="00591A0B" w:rsidRPr="00591A0B">
              <w:rPr>
                <w:b/>
                <w:bCs/>
                <w:lang w:val="en-US" w:eastAsia="ko-KR"/>
              </w:rPr>
              <w:t>22</w:t>
            </w:r>
            <w:r w:rsidR="00591A0B">
              <w:rPr>
                <w:b/>
                <w:bCs/>
                <w:lang w:val="en-US" w:eastAsia="ko-KR"/>
              </w:rPr>
              <w:t>,</w:t>
            </w:r>
            <w:r w:rsidR="00591A0B" w:rsidRPr="00591A0B">
              <w:rPr>
                <w:b/>
                <w:bCs/>
                <w:lang w:val="en-US" w:eastAsia="ko-KR"/>
              </w:rPr>
              <w:t>404</w:t>
            </w:r>
            <w:r w:rsidR="00591A0B">
              <w:rPr>
                <w:b/>
                <w:bCs/>
                <w:lang w:val="en-US" w:eastAsia="ko-KR"/>
              </w:rPr>
              <w:t>,</w:t>
            </w:r>
            <w:r w:rsidR="00591A0B" w:rsidRPr="00591A0B">
              <w:rPr>
                <w:b/>
                <w:bCs/>
                <w:lang w:val="en-US" w:eastAsia="ko-KR"/>
              </w:rPr>
              <w:t>460.59</w:t>
            </w:r>
          </w:p>
        </w:tc>
      </w:tr>
    </w:tbl>
    <w:p w14:paraId="14854898" w14:textId="77777777" w:rsidR="007E7892" w:rsidRPr="007E7892" w:rsidRDefault="007E7892" w:rsidP="007E7892">
      <w:pPr>
        <w:rPr>
          <w:lang w:eastAsia="ko-KR"/>
        </w:rPr>
      </w:pPr>
    </w:p>
    <w:p w14:paraId="1008FD8A" w14:textId="77777777" w:rsidR="007E7892" w:rsidRPr="007E7892" w:rsidRDefault="007E7892" w:rsidP="008B4F4B">
      <w:pPr>
        <w:pStyle w:val="Heading3"/>
      </w:pPr>
    </w:p>
    <w:p w14:paraId="69B85ADD" w14:textId="77777777" w:rsidR="007E7892" w:rsidRPr="007E7892" w:rsidRDefault="007E7892" w:rsidP="008B4F4B">
      <w:pPr>
        <w:pStyle w:val="Heading3"/>
      </w:pPr>
    </w:p>
    <w:p w14:paraId="2F609151" w14:textId="43F3595F" w:rsidR="00690701" w:rsidRDefault="00690701" w:rsidP="008B4F4B">
      <w:pPr>
        <w:pStyle w:val="Heading3"/>
      </w:pPr>
      <w:r>
        <w:br w:type="page"/>
      </w:r>
    </w:p>
    <w:p w14:paraId="26B39F7A" w14:textId="606F5ABE" w:rsidR="00690701" w:rsidRDefault="00690701" w:rsidP="00690701">
      <w:pPr>
        <w:pStyle w:val="Heading1"/>
        <w:numPr>
          <w:ilvl w:val="0"/>
          <w:numId w:val="0"/>
        </w:numPr>
        <w:ind w:left="432" w:hanging="432"/>
        <w:rPr>
          <w:lang w:eastAsia="ko-KR"/>
        </w:rPr>
      </w:pPr>
      <w:bookmarkStart w:id="32" w:name="_Ref177476672"/>
      <w:bookmarkStart w:id="33" w:name="_Ref177476674"/>
      <w:bookmarkStart w:id="34" w:name="_Toc196471709"/>
      <w:bookmarkStart w:id="35" w:name="_Toc364891964"/>
      <w:r>
        <w:lastRenderedPageBreak/>
        <w:t xml:space="preserve">Annex 4: Investment </w:t>
      </w:r>
      <w:r w:rsidRPr="06553CDB">
        <w:rPr>
          <w:lang w:eastAsia="ko-KR"/>
        </w:rPr>
        <w:t>phase: implementation progress summary</w:t>
      </w:r>
      <w:bookmarkEnd w:id="32"/>
      <w:bookmarkEnd w:id="33"/>
      <w:r w:rsidRPr="06553CDB">
        <w:rPr>
          <w:lang w:eastAsia="ko-KR"/>
        </w:rPr>
        <w:t xml:space="preserve"> per country (as of </w:t>
      </w:r>
      <w:r w:rsidRPr="06553CDB">
        <w:rPr>
          <w:rFonts w:eastAsia="Malgun Gothic"/>
          <w:lang w:eastAsia="ko-KR"/>
        </w:rPr>
        <w:t>3</w:t>
      </w:r>
      <w:r w:rsidR="008B4F4B" w:rsidRPr="06553CDB">
        <w:rPr>
          <w:rFonts w:eastAsia="Malgun Gothic"/>
          <w:lang w:eastAsia="ko-KR"/>
        </w:rPr>
        <w:t>0</w:t>
      </w:r>
      <w:r w:rsidRPr="06553CDB">
        <w:rPr>
          <w:lang w:eastAsia="ko-KR"/>
        </w:rPr>
        <w:t xml:space="preserve"> </w:t>
      </w:r>
      <w:r w:rsidR="008B4F4B" w:rsidRPr="06553CDB">
        <w:rPr>
          <w:rFonts w:eastAsia="Malgun Gothic"/>
          <w:lang w:eastAsia="ko-KR"/>
        </w:rPr>
        <w:t>September</w:t>
      </w:r>
      <w:r w:rsidRPr="06553CDB">
        <w:rPr>
          <w:lang w:eastAsia="ko-KR"/>
        </w:rPr>
        <w:t xml:space="preserve"> 2025)</w:t>
      </w:r>
      <w:bookmarkEnd w:id="34"/>
      <w:bookmarkEnd w:id="35"/>
    </w:p>
    <w:tbl>
      <w:tblPr>
        <w:tblW w:w="1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037"/>
        <w:gridCol w:w="1720"/>
        <w:gridCol w:w="1644"/>
        <w:gridCol w:w="1501"/>
        <w:gridCol w:w="1620"/>
        <w:gridCol w:w="1440"/>
        <w:gridCol w:w="1530"/>
        <w:gridCol w:w="1620"/>
        <w:gridCol w:w="1710"/>
        <w:gridCol w:w="1800"/>
      </w:tblGrid>
      <w:tr w:rsidR="00690701" w:rsidRPr="008D26AB" w14:paraId="676CE36E" w14:textId="77777777" w:rsidTr="0C313153">
        <w:trPr>
          <w:trHeight w:val="297"/>
          <w:tblHeader/>
        </w:trPr>
        <w:tc>
          <w:tcPr>
            <w:tcW w:w="2690" w:type="dxa"/>
            <w:gridSpan w:val="2"/>
            <w:shd w:val="clear" w:color="auto" w:fill="185980" w:themeFill="accent2"/>
            <w:noWrap/>
            <w:vAlign w:val="center"/>
          </w:tcPr>
          <w:p w14:paraId="53F9D6FF" w14:textId="77777777" w:rsidR="00690701" w:rsidRPr="00D15E58" w:rsidRDefault="00690701">
            <w:pPr>
              <w:spacing w:before="60" w:after="60" w:line="240" w:lineRule="auto"/>
              <w:jc w:val="left"/>
              <w:rPr>
                <w:rFonts w:eastAsia="Malgun Gothic" w:cs="Open Sans"/>
                <w:b/>
                <w:color w:val="FFFFFF" w:themeColor="background1"/>
                <w:kern w:val="0"/>
                <w:sz w:val="16"/>
                <w:szCs w:val="16"/>
                <w:lang w:val="en-US" w:eastAsia="ko-KR"/>
                <w14:ligatures w14:val="none"/>
              </w:rPr>
            </w:pPr>
          </w:p>
        </w:tc>
        <w:tc>
          <w:tcPr>
            <w:tcW w:w="4865" w:type="dxa"/>
            <w:gridSpan w:val="3"/>
            <w:shd w:val="clear" w:color="auto" w:fill="185980" w:themeFill="accent2"/>
            <w:vAlign w:val="center"/>
          </w:tcPr>
          <w:p w14:paraId="32B9E003" w14:textId="77777777" w:rsidR="00690701" w:rsidRPr="000D7ACB" w:rsidRDefault="00690701">
            <w:pPr>
              <w:spacing w:before="60" w:after="60" w:line="240" w:lineRule="auto"/>
              <w:jc w:val="left"/>
              <w:rPr>
                <w:rFonts w:eastAsia="Malgun Gothic" w:cs="Open Sans"/>
                <w:b/>
                <w:color w:val="FFFFFF" w:themeColor="background1"/>
                <w:kern w:val="0"/>
                <w:sz w:val="20"/>
                <w:szCs w:val="20"/>
                <w:lang w:val="en-US" w:eastAsia="ko-KR"/>
                <w14:ligatures w14:val="none"/>
              </w:rPr>
            </w:pPr>
            <w:r w:rsidRPr="000D7ACB">
              <w:rPr>
                <w:rFonts w:eastAsia="Malgun Gothic" w:cs="Open Sans"/>
                <w:b/>
                <w:color w:val="FFFFFF" w:themeColor="background1"/>
                <w:kern w:val="0"/>
                <w:sz w:val="20"/>
                <w:szCs w:val="20"/>
                <w:lang w:val="en-US" w:eastAsia="ko-KR"/>
                <w14:ligatures w14:val="none"/>
              </w:rPr>
              <w:t>1. GBON institutional and human capacity developed</w:t>
            </w:r>
          </w:p>
        </w:tc>
        <w:tc>
          <w:tcPr>
            <w:tcW w:w="6210" w:type="dxa"/>
            <w:gridSpan w:val="4"/>
            <w:shd w:val="clear" w:color="auto" w:fill="185980" w:themeFill="accent2"/>
            <w:noWrap/>
            <w:vAlign w:val="center"/>
          </w:tcPr>
          <w:p w14:paraId="1FD391BB" w14:textId="77777777" w:rsidR="00690701" w:rsidRPr="000D7ACB" w:rsidRDefault="00690701">
            <w:pPr>
              <w:spacing w:before="60" w:after="60" w:line="240" w:lineRule="auto"/>
              <w:jc w:val="left"/>
              <w:rPr>
                <w:rFonts w:eastAsia="Malgun Gothic" w:cs="Open Sans"/>
                <w:b/>
                <w:color w:val="FFFFFF" w:themeColor="background1"/>
                <w:kern w:val="0"/>
                <w:sz w:val="20"/>
                <w:szCs w:val="20"/>
                <w:lang w:val="en-US" w:eastAsia="ko-KR"/>
                <w14:ligatures w14:val="none"/>
              </w:rPr>
            </w:pPr>
            <w:r w:rsidRPr="000D7ACB">
              <w:rPr>
                <w:rFonts w:eastAsia="Malgun Gothic" w:cs="Open Sans"/>
                <w:b/>
                <w:color w:val="FFFFFF" w:themeColor="background1"/>
                <w:kern w:val="0"/>
                <w:sz w:val="20"/>
                <w:szCs w:val="20"/>
                <w:lang w:val="en-US" w:eastAsia="ko-KR"/>
                <w14:ligatures w14:val="none"/>
              </w:rPr>
              <w:t>2. GBON infrastructure in place</w:t>
            </w:r>
          </w:p>
        </w:tc>
        <w:tc>
          <w:tcPr>
            <w:tcW w:w="3510" w:type="dxa"/>
            <w:gridSpan w:val="2"/>
            <w:shd w:val="clear" w:color="auto" w:fill="185980" w:themeFill="accent2"/>
            <w:noWrap/>
            <w:vAlign w:val="center"/>
          </w:tcPr>
          <w:p w14:paraId="128A8715" w14:textId="77777777" w:rsidR="00690701" w:rsidRPr="000D7ACB" w:rsidRDefault="00690701">
            <w:pPr>
              <w:spacing w:before="60" w:after="60" w:line="240" w:lineRule="auto"/>
              <w:jc w:val="left"/>
              <w:rPr>
                <w:rFonts w:eastAsia="Malgun Gothic" w:cs="Open Sans"/>
                <w:b/>
                <w:color w:val="FFFFFF" w:themeColor="background1"/>
                <w:kern w:val="0"/>
                <w:sz w:val="20"/>
                <w:szCs w:val="20"/>
                <w:lang w:val="en-US" w:eastAsia="ko-KR"/>
                <w14:ligatures w14:val="none"/>
              </w:rPr>
            </w:pPr>
            <w:r w:rsidRPr="000D7ACB">
              <w:rPr>
                <w:rFonts w:eastAsia="Malgun Gothic" w:cs="Open Sans"/>
                <w:b/>
                <w:color w:val="FFFFFF" w:themeColor="background1"/>
                <w:kern w:val="0"/>
                <w:sz w:val="20"/>
                <w:szCs w:val="20"/>
                <w:lang w:val="en-US" w:eastAsia="ko-KR"/>
                <w14:ligatures w14:val="none"/>
              </w:rPr>
              <w:t>3. Sustained compliance with GBON</w:t>
            </w:r>
          </w:p>
        </w:tc>
      </w:tr>
      <w:tr w:rsidR="00690701" w:rsidRPr="008D26AB" w14:paraId="552C50AD" w14:textId="77777777">
        <w:trPr>
          <w:trHeight w:val="1054"/>
          <w:tblHeader/>
        </w:trPr>
        <w:tc>
          <w:tcPr>
            <w:tcW w:w="2690" w:type="dxa"/>
            <w:gridSpan w:val="2"/>
            <w:noWrap/>
            <w:vAlign w:val="center"/>
          </w:tcPr>
          <w:p w14:paraId="575DD2A5"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p>
        </w:tc>
        <w:tc>
          <w:tcPr>
            <w:tcW w:w="1720" w:type="dxa"/>
            <w:shd w:val="clear" w:color="auto" w:fill="F2F2F2" w:themeFill="background1" w:themeFillShade="F2"/>
          </w:tcPr>
          <w:p w14:paraId="4566DC0F"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1.1</w:t>
            </w:r>
            <w:r>
              <w:rPr>
                <w:rFonts w:eastAsia="Malgun Gothic" w:cs="Open Sans" w:hint="eastAsia"/>
                <w:bCs/>
                <w:color w:val="000000" w:themeColor="text1"/>
                <w:kern w:val="0"/>
                <w:sz w:val="16"/>
                <w:szCs w:val="16"/>
                <w:lang w:val="en-US" w:eastAsia="ko-KR"/>
                <w14:ligatures w14:val="none"/>
              </w:rPr>
              <w:t xml:space="preserve"> </w:t>
            </w:r>
            <w:r w:rsidRPr="00297FF5">
              <w:rPr>
                <w:rFonts w:eastAsia="Malgun Gothic" w:cs="Open Sans"/>
                <w:b/>
                <w:color w:val="000000" w:themeColor="text1"/>
                <w:kern w:val="0"/>
                <w:sz w:val="16"/>
                <w:szCs w:val="16"/>
                <w:lang w:val="en-US" w:eastAsia="ko-KR"/>
                <w14:ligatures w14:val="none"/>
              </w:rPr>
              <w:t>National consultations</w:t>
            </w:r>
            <w:r w:rsidRPr="008D655B">
              <w:rPr>
                <w:rFonts w:eastAsia="Malgun Gothic" w:cs="Open Sans"/>
                <w:bCs/>
                <w:color w:val="000000" w:themeColor="text1"/>
                <w:kern w:val="0"/>
                <w:sz w:val="16"/>
                <w:szCs w:val="16"/>
                <w:lang w:val="en-US" w:eastAsia="ko-KR"/>
                <w14:ligatures w14:val="none"/>
              </w:rPr>
              <w:t>, including with CSOs and other relevant stakeholders conducted</w:t>
            </w:r>
          </w:p>
        </w:tc>
        <w:tc>
          <w:tcPr>
            <w:tcW w:w="1644" w:type="dxa"/>
            <w:shd w:val="clear" w:color="auto" w:fill="F2F2F2" w:themeFill="background1" w:themeFillShade="F2"/>
            <w:noWrap/>
          </w:tcPr>
          <w:p w14:paraId="1614F64E"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1.2 </w:t>
            </w:r>
            <w:r w:rsidRPr="00297FF5">
              <w:rPr>
                <w:rFonts w:eastAsia="Malgun Gothic" w:cs="Open Sans"/>
                <w:b/>
                <w:color w:val="000000" w:themeColor="text1"/>
                <w:kern w:val="0"/>
                <w:sz w:val="16"/>
                <w:szCs w:val="16"/>
                <w:lang w:val="en-US" w:eastAsia="ko-KR"/>
                <w14:ligatures w14:val="none"/>
              </w:rPr>
              <w:t>NMHS institutional capacity</w:t>
            </w:r>
            <w:r w:rsidRPr="008D655B">
              <w:rPr>
                <w:rFonts w:eastAsia="Malgun Gothic" w:cs="Open Sans"/>
                <w:bCs/>
                <w:color w:val="000000" w:themeColor="text1"/>
                <w:kern w:val="0"/>
                <w:sz w:val="16"/>
                <w:szCs w:val="16"/>
                <w:lang w:val="en-US" w:eastAsia="ko-KR"/>
                <w14:ligatures w14:val="none"/>
              </w:rPr>
              <w:t xml:space="preserve"> required to operate the GBON network developed</w:t>
            </w:r>
          </w:p>
        </w:tc>
        <w:tc>
          <w:tcPr>
            <w:tcW w:w="1501" w:type="dxa"/>
            <w:shd w:val="clear" w:color="auto" w:fill="F2F2F2" w:themeFill="background1" w:themeFillShade="F2"/>
          </w:tcPr>
          <w:p w14:paraId="3D39D36C"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1.3 </w:t>
            </w:r>
            <w:r w:rsidRPr="00297FF5">
              <w:rPr>
                <w:rFonts w:eastAsia="Malgun Gothic" w:cs="Open Sans"/>
                <w:b/>
                <w:color w:val="000000" w:themeColor="text1"/>
                <w:kern w:val="0"/>
                <w:sz w:val="16"/>
                <w:szCs w:val="16"/>
                <w:lang w:val="en-US" w:eastAsia="ko-KR"/>
                <w14:ligatures w14:val="none"/>
              </w:rPr>
              <w:t>NMHS human capacity</w:t>
            </w:r>
            <w:r w:rsidRPr="008D655B">
              <w:rPr>
                <w:rFonts w:eastAsia="Malgun Gothic" w:cs="Open Sans"/>
                <w:bCs/>
                <w:color w:val="000000" w:themeColor="text1"/>
                <w:kern w:val="0"/>
                <w:sz w:val="16"/>
                <w:szCs w:val="16"/>
                <w:lang w:val="en-US" w:eastAsia="ko-KR"/>
                <w14:ligatures w14:val="none"/>
              </w:rPr>
              <w:t xml:space="preserve"> required to operate the GBON network developed</w:t>
            </w:r>
          </w:p>
        </w:tc>
        <w:tc>
          <w:tcPr>
            <w:tcW w:w="1620" w:type="dxa"/>
            <w:shd w:val="clear" w:color="auto" w:fill="F2F2F2" w:themeFill="background1" w:themeFillShade="F2"/>
            <w:noWrap/>
            <w:hideMark/>
          </w:tcPr>
          <w:p w14:paraId="6E709BD7"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2.1 </w:t>
            </w:r>
            <w:r w:rsidRPr="00297FF5">
              <w:rPr>
                <w:rFonts w:eastAsia="Malgun Gothic" w:cs="Open Sans"/>
                <w:b/>
                <w:color w:val="000000" w:themeColor="text1"/>
                <w:kern w:val="0"/>
                <w:sz w:val="16"/>
                <w:szCs w:val="16"/>
                <w:lang w:val="en-US" w:eastAsia="ko-KR"/>
                <w14:ligatures w14:val="none"/>
              </w:rPr>
              <w:t>New land-based stations</w:t>
            </w:r>
            <w:r w:rsidRPr="008D655B">
              <w:rPr>
                <w:rFonts w:eastAsia="Malgun Gothic" w:cs="Open Sans"/>
                <w:bCs/>
                <w:color w:val="000000" w:themeColor="text1"/>
                <w:kern w:val="0"/>
                <w:sz w:val="16"/>
                <w:szCs w:val="16"/>
                <w:lang w:val="en-US" w:eastAsia="ko-KR"/>
                <w14:ligatures w14:val="none"/>
              </w:rPr>
              <w:t xml:space="preserve"> and related equipment, ICT systems, data management systems and standard operating practices in place</w:t>
            </w:r>
          </w:p>
        </w:tc>
        <w:tc>
          <w:tcPr>
            <w:tcW w:w="1440" w:type="dxa"/>
            <w:shd w:val="clear" w:color="auto" w:fill="F2F2F2" w:themeFill="background1" w:themeFillShade="F2"/>
            <w:noWrap/>
          </w:tcPr>
          <w:p w14:paraId="71177D7D"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2.2 </w:t>
            </w:r>
            <w:r w:rsidRPr="00297FF5">
              <w:rPr>
                <w:rFonts w:eastAsia="Malgun Gothic" w:cs="Open Sans"/>
                <w:b/>
                <w:color w:val="000000" w:themeColor="text1"/>
                <w:kern w:val="0"/>
                <w:sz w:val="16"/>
                <w:szCs w:val="16"/>
                <w:lang w:val="en-US" w:eastAsia="ko-KR"/>
                <w14:ligatures w14:val="none"/>
              </w:rPr>
              <w:t>Improved land-based stations</w:t>
            </w:r>
            <w:r w:rsidRPr="008D655B">
              <w:rPr>
                <w:rFonts w:eastAsia="Malgun Gothic" w:cs="Open Sans"/>
                <w:bCs/>
                <w:color w:val="000000" w:themeColor="text1"/>
                <w:kern w:val="0"/>
                <w:sz w:val="16"/>
                <w:szCs w:val="16"/>
                <w:lang w:val="en-US" w:eastAsia="ko-KR"/>
                <w14:ligatures w14:val="none"/>
              </w:rPr>
              <w:t xml:space="preserve"> and related equipment, ICT systems, data management systems and standard operating practices in place</w:t>
            </w:r>
          </w:p>
        </w:tc>
        <w:tc>
          <w:tcPr>
            <w:tcW w:w="1530" w:type="dxa"/>
            <w:shd w:val="clear" w:color="auto" w:fill="F2F2F2" w:themeFill="background1" w:themeFillShade="F2"/>
            <w:noWrap/>
          </w:tcPr>
          <w:p w14:paraId="2D362450"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2.3 </w:t>
            </w:r>
            <w:r w:rsidRPr="00297FF5">
              <w:rPr>
                <w:rFonts w:eastAsia="Malgun Gothic" w:cs="Open Sans"/>
                <w:b/>
                <w:color w:val="000000" w:themeColor="text1"/>
                <w:kern w:val="0"/>
                <w:sz w:val="16"/>
                <w:szCs w:val="16"/>
                <w:lang w:val="en-US" w:eastAsia="ko-KR"/>
                <w14:ligatures w14:val="none"/>
              </w:rPr>
              <w:t>New upper air stations</w:t>
            </w:r>
            <w:r w:rsidRPr="008D655B">
              <w:rPr>
                <w:rFonts w:eastAsia="Malgun Gothic" w:cs="Open Sans"/>
                <w:bCs/>
                <w:color w:val="000000" w:themeColor="text1"/>
                <w:kern w:val="0"/>
                <w:sz w:val="16"/>
                <w:szCs w:val="16"/>
                <w:lang w:val="en-US" w:eastAsia="ko-KR"/>
                <w14:ligatures w14:val="none"/>
              </w:rPr>
              <w:t xml:space="preserve"> and related equipment, ICT systems, data management systems and standard operating practices in place</w:t>
            </w:r>
          </w:p>
        </w:tc>
        <w:tc>
          <w:tcPr>
            <w:tcW w:w="1620" w:type="dxa"/>
            <w:shd w:val="clear" w:color="auto" w:fill="F2F2F2" w:themeFill="background1" w:themeFillShade="F2"/>
            <w:noWrap/>
          </w:tcPr>
          <w:p w14:paraId="111BED4D"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2.4 </w:t>
            </w:r>
            <w:r w:rsidRPr="00297FF5">
              <w:rPr>
                <w:rFonts w:eastAsia="Malgun Gothic" w:cs="Open Sans"/>
                <w:b/>
                <w:color w:val="000000" w:themeColor="text1"/>
                <w:kern w:val="0"/>
                <w:sz w:val="16"/>
                <w:szCs w:val="16"/>
                <w:lang w:val="en-US" w:eastAsia="ko-KR"/>
                <w14:ligatures w14:val="none"/>
              </w:rPr>
              <w:t>Improved upper air stations</w:t>
            </w:r>
            <w:r w:rsidRPr="008D655B">
              <w:rPr>
                <w:rFonts w:eastAsia="Malgun Gothic" w:cs="Open Sans"/>
                <w:bCs/>
                <w:color w:val="000000" w:themeColor="text1"/>
                <w:kern w:val="0"/>
                <w:sz w:val="16"/>
                <w:szCs w:val="16"/>
                <w:lang w:val="en-US" w:eastAsia="ko-KR"/>
                <w14:ligatures w14:val="none"/>
              </w:rPr>
              <w:t xml:space="preserve"> and related equipment, ICT systems, data management systems and standard operating practices in place</w:t>
            </w:r>
          </w:p>
        </w:tc>
        <w:tc>
          <w:tcPr>
            <w:tcW w:w="1710" w:type="dxa"/>
            <w:shd w:val="clear" w:color="auto" w:fill="F2F2F2" w:themeFill="background1" w:themeFillShade="F2"/>
            <w:noWrap/>
          </w:tcPr>
          <w:p w14:paraId="776B6D73"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3.1 </w:t>
            </w:r>
            <w:r w:rsidRPr="00297FF5">
              <w:rPr>
                <w:rFonts w:eastAsia="Malgun Gothic" w:cs="Open Sans"/>
                <w:b/>
                <w:color w:val="000000" w:themeColor="text1"/>
                <w:kern w:val="0"/>
                <w:sz w:val="16"/>
                <w:szCs w:val="16"/>
                <w:lang w:val="en-US" w:eastAsia="ko-KR"/>
                <w14:ligatures w14:val="none"/>
              </w:rPr>
              <w:t>GBON land-based stations’ commissioning period completed</w:t>
            </w:r>
            <w:r w:rsidRPr="008D655B">
              <w:rPr>
                <w:rFonts w:eastAsia="Malgun Gothic" w:cs="Open Sans"/>
                <w:bCs/>
                <w:color w:val="000000" w:themeColor="text1"/>
                <w:kern w:val="0"/>
                <w:sz w:val="16"/>
                <w:szCs w:val="16"/>
                <w:lang w:val="en-US" w:eastAsia="ko-KR"/>
                <w14:ligatures w14:val="none"/>
              </w:rPr>
              <w:t>, country-specific standard cost for operations and maintenance established, and data sharing verified by WMO Technical Authority</w:t>
            </w:r>
          </w:p>
        </w:tc>
        <w:tc>
          <w:tcPr>
            <w:tcW w:w="1800" w:type="dxa"/>
            <w:shd w:val="clear" w:color="auto" w:fill="F2F2F2" w:themeFill="background1" w:themeFillShade="F2"/>
          </w:tcPr>
          <w:p w14:paraId="6F52C3BE" w14:textId="77777777" w:rsidR="00690701" w:rsidRPr="008D655B" w:rsidRDefault="00690701">
            <w:pPr>
              <w:spacing w:before="60" w:after="60" w:line="240" w:lineRule="auto"/>
              <w:jc w:val="left"/>
              <w:rPr>
                <w:rFonts w:eastAsia="Malgun Gothic" w:cs="Open Sans"/>
                <w:bCs/>
                <w:color w:val="000000" w:themeColor="text1"/>
                <w:kern w:val="0"/>
                <w:sz w:val="16"/>
                <w:szCs w:val="16"/>
                <w:lang w:val="en-US" w:eastAsia="ko-KR"/>
                <w14:ligatures w14:val="none"/>
              </w:rPr>
            </w:pPr>
            <w:r w:rsidRPr="008D655B">
              <w:rPr>
                <w:rFonts w:eastAsia="Malgun Gothic" w:cs="Open Sans"/>
                <w:bCs/>
                <w:color w:val="000000" w:themeColor="text1"/>
                <w:kern w:val="0"/>
                <w:sz w:val="16"/>
                <w:szCs w:val="16"/>
                <w:lang w:val="en-US" w:eastAsia="ko-KR"/>
                <w14:ligatures w14:val="none"/>
              </w:rPr>
              <w:t xml:space="preserve">3.2 </w:t>
            </w:r>
            <w:r w:rsidRPr="00297FF5">
              <w:rPr>
                <w:rFonts w:eastAsia="Malgun Gothic" w:cs="Open Sans"/>
                <w:b/>
                <w:color w:val="000000" w:themeColor="text1"/>
                <w:kern w:val="0"/>
                <w:sz w:val="16"/>
                <w:szCs w:val="16"/>
                <w:lang w:val="en-US" w:eastAsia="ko-KR"/>
                <w14:ligatures w14:val="none"/>
              </w:rPr>
              <w:t>GBON upper air stations’ commissioning period completed</w:t>
            </w:r>
            <w:r w:rsidRPr="008D655B">
              <w:rPr>
                <w:rFonts w:eastAsia="Malgun Gothic" w:cs="Open Sans"/>
                <w:bCs/>
                <w:color w:val="000000" w:themeColor="text1"/>
                <w:kern w:val="0"/>
                <w:sz w:val="16"/>
                <w:szCs w:val="16"/>
                <w:lang w:val="en-US" w:eastAsia="ko-KR"/>
                <w14:ligatures w14:val="none"/>
              </w:rPr>
              <w:t>, country-specific standard cost for operations and maintenance established, and data sharing verified by WMO Technical Authority</w:t>
            </w:r>
          </w:p>
        </w:tc>
      </w:tr>
      <w:tr w:rsidR="00690701" w:rsidRPr="008D26AB" w14:paraId="565D2335" w14:textId="77777777" w:rsidTr="0C313153">
        <w:trPr>
          <w:trHeight w:val="297"/>
        </w:trPr>
        <w:tc>
          <w:tcPr>
            <w:tcW w:w="1653" w:type="dxa"/>
            <w:shd w:val="clear" w:color="auto" w:fill="F2F2F2" w:themeFill="background1" w:themeFillShade="F2"/>
            <w:noWrap/>
          </w:tcPr>
          <w:p w14:paraId="201FD20B"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5E099394">
              <w:rPr>
                <w:rFonts w:eastAsia="Malgun Gothic" w:cs="Open Sans"/>
                <w:b/>
                <w:bCs/>
                <w:color w:val="000000"/>
                <w:kern w:val="0"/>
                <w:sz w:val="20"/>
                <w:szCs w:val="20"/>
                <w:lang w:val="en-US" w:eastAsia="ko-KR"/>
                <w14:ligatures w14:val="none"/>
              </w:rPr>
              <w:t>Belize</w:t>
            </w:r>
          </w:p>
        </w:tc>
        <w:tc>
          <w:tcPr>
            <w:tcW w:w="1037" w:type="dxa"/>
            <w:shd w:val="clear" w:color="auto" w:fill="F2F2F2" w:themeFill="background1" w:themeFillShade="F2"/>
            <w:vAlign w:val="center"/>
          </w:tcPr>
          <w:p w14:paraId="7FC9B7A0"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IADB</w:t>
            </w:r>
          </w:p>
        </w:tc>
        <w:tc>
          <w:tcPr>
            <w:tcW w:w="1720" w:type="dxa"/>
            <w:shd w:val="clear" w:color="auto" w:fill="418FDE"/>
          </w:tcPr>
          <w:p w14:paraId="789667D6"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44" w:type="dxa"/>
            <w:shd w:val="clear" w:color="auto" w:fill="F7CE67"/>
            <w:noWrap/>
          </w:tcPr>
          <w:p w14:paraId="3D1A808B" w14:textId="04219ED9" w:rsidR="00690701" w:rsidRPr="00B22932" w:rsidRDefault="6B69F528">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501" w:type="dxa"/>
            <w:shd w:val="clear" w:color="auto" w:fill="418FDE"/>
          </w:tcPr>
          <w:p w14:paraId="3CC21B74"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418FDE"/>
            <w:noWrap/>
          </w:tcPr>
          <w:p w14:paraId="7DA40B80" w14:textId="77777777" w:rsidR="00690701" w:rsidRPr="00B22932" w:rsidRDefault="00690701">
            <w:pPr>
              <w:spacing w:before="60" w:after="60" w:line="240" w:lineRule="auto"/>
              <w:jc w:val="center"/>
              <w:rPr>
                <w:rFonts w:eastAsia="Malgun Gothic"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440" w:type="dxa"/>
            <w:shd w:val="clear" w:color="auto" w:fill="418FDE"/>
            <w:noWrap/>
          </w:tcPr>
          <w:p w14:paraId="195A2FF4"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530" w:type="dxa"/>
            <w:shd w:val="clear" w:color="auto" w:fill="418FDE"/>
            <w:noWrap/>
          </w:tcPr>
          <w:p w14:paraId="33EE6042"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418FDE"/>
            <w:noWrap/>
          </w:tcPr>
          <w:p w14:paraId="5AEF9BCB"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710" w:type="dxa"/>
            <w:shd w:val="clear" w:color="auto" w:fill="418FDE"/>
            <w:noWrap/>
          </w:tcPr>
          <w:p w14:paraId="35389017" w14:textId="77777777" w:rsidR="00690701" w:rsidRPr="00B22932" w:rsidRDefault="00690701">
            <w:pPr>
              <w:spacing w:before="60" w:after="60" w:line="240" w:lineRule="auto"/>
              <w:jc w:val="center"/>
              <w:rPr>
                <w:rFonts w:eastAsia="Malgun Gothic"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tcPr>
          <w:p w14:paraId="55FC97EC"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512543E7" w14:textId="77777777">
        <w:trPr>
          <w:trHeight w:val="297"/>
        </w:trPr>
        <w:tc>
          <w:tcPr>
            <w:tcW w:w="1653" w:type="dxa"/>
            <w:shd w:val="clear" w:color="auto" w:fill="F2F2F2" w:themeFill="background1" w:themeFillShade="F2"/>
            <w:noWrap/>
          </w:tcPr>
          <w:p w14:paraId="4E1C865D"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Bhutan</w:t>
            </w:r>
          </w:p>
        </w:tc>
        <w:tc>
          <w:tcPr>
            <w:tcW w:w="1037" w:type="dxa"/>
            <w:shd w:val="clear" w:color="auto" w:fill="F2F2F2" w:themeFill="background1" w:themeFillShade="F2"/>
            <w:vAlign w:val="center"/>
          </w:tcPr>
          <w:p w14:paraId="375B7D05"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UNEP</w:t>
            </w:r>
          </w:p>
        </w:tc>
        <w:tc>
          <w:tcPr>
            <w:tcW w:w="1720" w:type="dxa"/>
            <w:shd w:val="clear" w:color="auto" w:fill="F7CE67"/>
          </w:tcPr>
          <w:p w14:paraId="4BD7FD7C"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44" w:type="dxa"/>
            <w:shd w:val="clear" w:color="auto" w:fill="F7CE67"/>
            <w:noWrap/>
          </w:tcPr>
          <w:p w14:paraId="382461A1"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9741A2">
              <w:rPr>
                <w:rFonts w:eastAsia="Times New Roman" w:cs="Open Sans"/>
                <w:color w:val="000000" w:themeColor="text1"/>
                <w:kern w:val="0"/>
                <w:sz w:val="16"/>
                <w:szCs w:val="16"/>
                <w:lang w:val="en-US" w:eastAsia="ko-KR"/>
                <w14:ligatures w14:val="none"/>
              </w:rPr>
              <w:t>On-track</w:t>
            </w:r>
          </w:p>
        </w:tc>
        <w:tc>
          <w:tcPr>
            <w:tcW w:w="1501" w:type="dxa"/>
            <w:shd w:val="clear" w:color="auto" w:fill="F7CE67"/>
          </w:tcPr>
          <w:p w14:paraId="66C22053"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4A5800">
              <w:rPr>
                <w:rFonts w:eastAsia="Times New Roman" w:cs="Open Sans"/>
                <w:color w:val="000000" w:themeColor="text1"/>
                <w:kern w:val="0"/>
                <w:sz w:val="16"/>
                <w:szCs w:val="16"/>
                <w:lang w:val="en-US" w:eastAsia="ko-KR"/>
                <w14:ligatures w14:val="none"/>
              </w:rPr>
              <w:t>On-track</w:t>
            </w:r>
          </w:p>
        </w:tc>
        <w:tc>
          <w:tcPr>
            <w:tcW w:w="1620" w:type="dxa"/>
            <w:shd w:val="clear" w:color="auto" w:fill="418FDE"/>
            <w:noWrap/>
          </w:tcPr>
          <w:p w14:paraId="405EEAE4" w14:textId="77777777" w:rsidR="00690701" w:rsidRPr="00F976A7" w:rsidRDefault="00690701">
            <w:pPr>
              <w:spacing w:before="60" w:after="60" w:line="240" w:lineRule="auto"/>
              <w:jc w:val="center"/>
              <w:rPr>
                <w:rFonts w:eastAsia="Times New Roman" w:cs="Open Sans"/>
                <w:color w:val="FFFFFF" w:themeColor="background1"/>
                <w:sz w:val="16"/>
                <w:szCs w:val="16"/>
                <w:lang w:val="en-US" w:eastAsia="ko-KR"/>
              </w:rPr>
            </w:pPr>
            <w:r w:rsidRPr="5AD2ABAC">
              <w:rPr>
                <w:rFonts w:eastAsia="Times New Roman" w:cs="Open Sans"/>
                <w:color w:val="FFFFFF" w:themeColor="background1"/>
                <w:sz w:val="16"/>
                <w:szCs w:val="16"/>
                <w:lang w:val="en-US" w:eastAsia="ko-KR"/>
              </w:rPr>
              <w:t>Not yet started</w:t>
            </w:r>
          </w:p>
        </w:tc>
        <w:tc>
          <w:tcPr>
            <w:tcW w:w="1440" w:type="dxa"/>
            <w:shd w:val="clear" w:color="auto" w:fill="F7CE67"/>
            <w:noWrap/>
          </w:tcPr>
          <w:p w14:paraId="14660565" w14:textId="77777777" w:rsidR="00690701" w:rsidRPr="00F976A7"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F976A7">
              <w:rPr>
                <w:rFonts w:eastAsia="Times New Roman" w:cs="Open Sans"/>
                <w:color w:val="000000" w:themeColor="text1"/>
                <w:kern w:val="0"/>
                <w:sz w:val="16"/>
                <w:szCs w:val="16"/>
                <w:lang w:val="en-US" w:eastAsia="ko-KR"/>
                <w14:ligatures w14:val="none"/>
              </w:rPr>
              <w:t>On-track</w:t>
            </w:r>
          </w:p>
        </w:tc>
        <w:tc>
          <w:tcPr>
            <w:tcW w:w="1530" w:type="dxa"/>
            <w:shd w:val="clear" w:color="auto" w:fill="F7CE67"/>
            <w:noWrap/>
          </w:tcPr>
          <w:p w14:paraId="28E9C1FE" w14:textId="77777777" w:rsidR="00690701" w:rsidRPr="00F976A7"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F976A7">
              <w:rPr>
                <w:rFonts w:eastAsia="Times New Roman" w:cs="Open Sans"/>
                <w:color w:val="000000" w:themeColor="text1"/>
                <w:kern w:val="0"/>
                <w:sz w:val="16"/>
                <w:szCs w:val="16"/>
                <w:lang w:val="en-US" w:eastAsia="ko-KR"/>
                <w14:ligatures w14:val="none"/>
              </w:rPr>
              <w:t>On-track</w:t>
            </w:r>
          </w:p>
        </w:tc>
        <w:tc>
          <w:tcPr>
            <w:tcW w:w="1620" w:type="dxa"/>
            <w:shd w:val="clear" w:color="auto" w:fill="418FDE"/>
            <w:noWrap/>
          </w:tcPr>
          <w:p w14:paraId="2AC3FFFF" w14:textId="77777777" w:rsidR="00690701" w:rsidRPr="00F976A7" w:rsidRDefault="00690701">
            <w:pPr>
              <w:spacing w:before="60" w:after="60" w:line="240" w:lineRule="auto"/>
              <w:jc w:val="center"/>
              <w:rPr>
                <w:rFonts w:eastAsia="Times New Roman" w:cs="Open Sans"/>
                <w:color w:val="FFFFFF" w:themeColor="background1"/>
                <w:sz w:val="16"/>
                <w:szCs w:val="16"/>
                <w:lang w:val="en-US" w:eastAsia="ko-KR"/>
              </w:rPr>
            </w:pPr>
            <w:r w:rsidRPr="5AD2ABAC">
              <w:rPr>
                <w:rFonts w:eastAsia="Times New Roman" w:cs="Open Sans"/>
                <w:color w:val="FFFFFF" w:themeColor="background1"/>
                <w:sz w:val="16"/>
                <w:szCs w:val="16"/>
                <w:lang w:val="en-US" w:eastAsia="ko-KR"/>
              </w:rPr>
              <w:t>Not yet started</w:t>
            </w:r>
          </w:p>
        </w:tc>
        <w:tc>
          <w:tcPr>
            <w:tcW w:w="1710" w:type="dxa"/>
            <w:shd w:val="clear" w:color="auto" w:fill="418FDE"/>
            <w:noWrap/>
          </w:tcPr>
          <w:p w14:paraId="3C40A17E" w14:textId="77777777" w:rsidR="00690701" w:rsidRPr="00100232"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tcPr>
          <w:p w14:paraId="16804009" w14:textId="77777777" w:rsidR="00690701" w:rsidRPr="00100232"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0122B9D2" w14:textId="77777777">
        <w:trPr>
          <w:trHeight w:val="297"/>
        </w:trPr>
        <w:tc>
          <w:tcPr>
            <w:tcW w:w="1653" w:type="dxa"/>
            <w:shd w:val="clear" w:color="auto" w:fill="F2F2F2" w:themeFill="background1" w:themeFillShade="F2"/>
            <w:noWrap/>
          </w:tcPr>
          <w:p w14:paraId="1DAADC52"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Cabo Verde</w:t>
            </w:r>
          </w:p>
        </w:tc>
        <w:tc>
          <w:tcPr>
            <w:tcW w:w="1037" w:type="dxa"/>
            <w:shd w:val="clear" w:color="auto" w:fill="F2F2F2" w:themeFill="background1" w:themeFillShade="F2"/>
            <w:vAlign w:val="center"/>
          </w:tcPr>
          <w:p w14:paraId="3ED302BE"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UNEP</w:t>
            </w:r>
          </w:p>
        </w:tc>
        <w:tc>
          <w:tcPr>
            <w:tcW w:w="1720" w:type="dxa"/>
            <w:shd w:val="clear" w:color="auto" w:fill="F7CE67"/>
            <w:vAlign w:val="center"/>
          </w:tcPr>
          <w:p w14:paraId="401CFB68"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44" w:type="dxa"/>
            <w:shd w:val="clear" w:color="auto" w:fill="F7CE67"/>
            <w:noWrap/>
            <w:vAlign w:val="center"/>
          </w:tcPr>
          <w:p w14:paraId="32E58A17" w14:textId="77777777" w:rsidR="00690701" w:rsidRPr="00F93282"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F93282">
              <w:rPr>
                <w:rFonts w:eastAsia="Times New Roman" w:cs="Open Sans"/>
                <w:color w:val="000000" w:themeColor="text1"/>
                <w:kern w:val="0"/>
                <w:sz w:val="16"/>
                <w:szCs w:val="16"/>
                <w:lang w:val="en-US" w:eastAsia="ko-KR"/>
                <w14:ligatures w14:val="none"/>
              </w:rPr>
              <w:t>On-track</w:t>
            </w:r>
          </w:p>
        </w:tc>
        <w:tc>
          <w:tcPr>
            <w:tcW w:w="1501" w:type="dxa"/>
            <w:shd w:val="clear" w:color="auto" w:fill="F7CE67"/>
            <w:vAlign w:val="center"/>
          </w:tcPr>
          <w:p w14:paraId="2AEF6EDF" w14:textId="77777777" w:rsidR="00690701" w:rsidRPr="00F93282"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F93282">
              <w:rPr>
                <w:rFonts w:eastAsia="Times New Roman" w:cs="Open Sans"/>
                <w:color w:val="000000" w:themeColor="text1"/>
                <w:kern w:val="0"/>
                <w:sz w:val="16"/>
                <w:szCs w:val="16"/>
                <w:lang w:val="en-US" w:eastAsia="ko-KR"/>
                <w14:ligatures w14:val="none"/>
              </w:rPr>
              <w:t>On-track</w:t>
            </w:r>
          </w:p>
        </w:tc>
        <w:tc>
          <w:tcPr>
            <w:tcW w:w="1620" w:type="dxa"/>
            <w:shd w:val="clear" w:color="auto" w:fill="F7CE67"/>
            <w:noWrap/>
            <w:vAlign w:val="center"/>
          </w:tcPr>
          <w:p w14:paraId="3E7D24AC" w14:textId="77777777" w:rsidR="00690701" w:rsidRPr="00E944E4"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E944E4">
              <w:rPr>
                <w:rFonts w:eastAsia="Times New Roman" w:cs="Open Sans"/>
                <w:color w:val="000000" w:themeColor="text1"/>
                <w:kern w:val="0"/>
                <w:sz w:val="16"/>
                <w:szCs w:val="16"/>
                <w:lang w:val="en-US" w:eastAsia="ko-KR"/>
                <w14:ligatures w14:val="none"/>
              </w:rPr>
              <w:t>On-track</w:t>
            </w:r>
          </w:p>
        </w:tc>
        <w:tc>
          <w:tcPr>
            <w:tcW w:w="1440" w:type="dxa"/>
            <w:shd w:val="clear" w:color="auto" w:fill="F7CE67"/>
            <w:noWrap/>
            <w:vAlign w:val="center"/>
          </w:tcPr>
          <w:p w14:paraId="61F4B525" w14:textId="77777777" w:rsidR="00690701" w:rsidRPr="00B22932" w:rsidRDefault="00690701">
            <w:pPr>
              <w:spacing w:before="60" w:after="60" w:line="240" w:lineRule="auto"/>
              <w:jc w:val="center"/>
            </w:pPr>
            <w:r w:rsidRPr="5AD2ABAC">
              <w:rPr>
                <w:rFonts w:eastAsia="Times New Roman" w:cs="Open Sans"/>
                <w:sz w:val="16"/>
                <w:szCs w:val="16"/>
                <w:lang w:val="en-US" w:eastAsia="ko-KR"/>
              </w:rPr>
              <w:t>On-track</w:t>
            </w:r>
          </w:p>
        </w:tc>
        <w:tc>
          <w:tcPr>
            <w:tcW w:w="1530" w:type="dxa"/>
            <w:shd w:val="clear" w:color="auto" w:fill="C3C3C3" w:themeFill="background2" w:themeFillShade="E6"/>
            <w:noWrap/>
            <w:vAlign w:val="center"/>
          </w:tcPr>
          <w:p w14:paraId="03D64468"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60C90A52">
              <w:rPr>
                <w:rFonts w:eastAsia="Times New Roman" w:cs="Open Sans"/>
                <w:color w:val="000000" w:themeColor="text1"/>
                <w:sz w:val="16"/>
                <w:szCs w:val="16"/>
                <w:lang w:val="en-US" w:eastAsia="ko-KR"/>
              </w:rPr>
              <w:t>N/A</w:t>
            </w:r>
          </w:p>
        </w:tc>
        <w:tc>
          <w:tcPr>
            <w:tcW w:w="1620" w:type="dxa"/>
            <w:shd w:val="clear" w:color="auto" w:fill="F7CE67"/>
            <w:noWrap/>
            <w:vAlign w:val="center"/>
          </w:tcPr>
          <w:p w14:paraId="4E0AF5D7" w14:textId="77777777" w:rsidR="00690701" w:rsidRPr="00B22932" w:rsidRDefault="00690701">
            <w:pPr>
              <w:spacing w:before="60" w:after="60" w:line="240" w:lineRule="auto"/>
              <w:jc w:val="center"/>
              <w:rPr>
                <w:rFonts w:eastAsia="Times New Roman" w:cs="Open Sans"/>
                <w:sz w:val="16"/>
                <w:szCs w:val="16"/>
                <w:lang w:val="en-US" w:eastAsia="ko-KR"/>
              </w:rPr>
            </w:pPr>
            <w:r w:rsidRPr="5AD2ABAC">
              <w:rPr>
                <w:rFonts w:eastAsia="Times New Roman" w:cs="Open Sans"/>
                <w:sz w:val="16"/>
                <w:szCs w:val="16"/>
                <w:lang w:val="en-US" w:eastAsia="ko-KR"/>
              </w:rPr>
              <w:t>On-track</w:t>
            </w:r>
          </w:p>
        </w:tc>
        <w:tc>
          <w:tcPr>
            <w:tcW w:w="1710" w:type="dxa"/>
            <w:shd w:val="clear" w:color="auto" w:fill="418FDE"/>
            <w:noWrap/>
            <w:vAlign w:val="center"/>
          </w:tcPr>
          <w:p w14:paraId="15860B74"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vAlign w:val="center"/>
          </w:tcPr>
          <w:p w14:paraId="52722C85"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491CE0BF" w14:textId="77777777" w:rsidTr="0C313153">
        <w:trPr>
          <w:trHeight w:val="297"/>
        </w:trPr>
        <w:tc>
          <w:tcPr>
            <w:tcW w:w="1653" w:type="dxa"/>
            <w:shd w:val="clear" w:color="auto" w:fill="F2F2F2" w:themeFill="background1" w:themeFillShade="F2"/>
            <w:noWrap/>
          </w:tcPr>
          <w:p w14:paraId="2C3F560D"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Chad</w:t>
            </w:r>
          </w:p>
        </w:tc>
        <w:tc>
          <w:tcPr>
            <w:tcW w:w="1037" w:type="dxa"/>
            <w:shd w:val="clear" w:color="auto" w:fill="F2F2F2" w:themeFill="background1" w:themeFillShade="F2"/>
            <w:vAlign w:val="center"/>
          </w:tcPr>
          <w:p w14:paraId="14D5035F"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WFP</w:t>
            </w:r>
          </w:p>
        </w:tc>
        <w:tc>
          <w:tcPr>
            <w:tcW w:w="1720" w:type="dxa"/>
            <w:shd w:val="clear" w:color="auto" w:fill="F7CE67"/>
            <w:vAlign w:val="center"/>
          </w:tcPr>
          <w:p w14:paraId="4AEF1FE7"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EE3996">
              <w:rPr>
                <w:rFonts w:eastAsia="Times New Roman" w:cs="Open Sans"/>
                <w:color w:val="000000" w:themeColor="text1"/>
                <w:kern w:val="0"/>
                <w:sz w:val="16"/>
                <w:szCs w:val="16"/>
                <w:lang w:val="en-US" w:eastAsia="ko-KR"/>
                <w14:ligatures w14:val="none"/>
              </w:rPr>
              <w:t>On-track</w:t>
            </w:r>
          </w:p>
        </w:tc>
        <w:tc>
          <w:tcPr>
            <w:tcW w:w="1644" w:type="dxa"/>
            <w:shd w:val="clear" w:color="auto" w:fill="418FDE"/>
            <w:noWrap/>
            <w:vAlign w:val="center"/>
          </w:tcPr>
          <w:p w14:paraId="52A7AE95"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501" w:type="dxa"/>
            <w:shd w:val="clear" w:color="auto" w:fill="418FDE"/>
            <w:vAlign w:val="center"/>
          </w:tcPr>
          <w:p w14:paraId="05E15B35"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418FDE"/>
            <w:noWrap/>
            <w:vAlign w:val="center"/>
          </w:tcPr>
          <w:p w14:paraId="3174A1E6" w14:textId="77777777" w:rsidR="00690701" w:rsidRPr="00B22932" w:rsidRDefault="00690701">
            <w:pPr>
              <w:spacing w:before="60" w:after="60" w:line="240" w:lineRule="auto"/>
              <w:jc w:val="center"/>
              <w:rPr>
                <w:rFonts w:eastAsia="Malgun Gothic"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440" w:type="dxa"/>
            <w:shd w:val="clear" w:color="auto" w:fill="F7CE67"/>
            <w:noWrap/>
            <w:vAlign w:val="center"/>
          </w:tcPr>
          <w:p w14:paraId="6273BD62" w14:textId="77777777" w:rsidR="00690701" w:rsidRPr="00B22932" w:rsidRDefault="57D92CE6">
            <w:pPr>
              <w:spacing w:before="60" w:after="60" w:line="240" w:lineRule="auto"/>
              <w:jc w:val="center"/>
              <w:rPr>
                <w:rFonts w:eastAsia="Times New Roman" w:cs="Open Sans"/>
                <w:color w:val="FFFFFF" w:themeColor="background1"/>
                <w:kern w:val="0"/>
                <w:sz w:val="16"/>
                <w:szCs w:val="16"/>
                <w:lang w:val="en-US" w:eastAsia="ko-KR"/>
                <w14:ligatures w14:val="none"/>
              </w:rPr>
            </w:pPr>
            <w:r w:rsidRPr="1B478FB1">
              <w:rPr>
                <w:rFonts w:eastAsia="Times New Roman" w:cs="Open Sans"/>
                <w:color w:val="FFFFFF" w:themeColor="background1"/>
                <w:kern w:val="0"/>
                <w:sz w:val="16"/>
                <w:szCs w:val="16"/>
                <w:lang w:val="en-US" w:eastAsia="ko-KR"/>
                <w14:ligatures w14:val="none"/>
              </w:rPr>
              <w:t>On-track</w:t>
            </w:r>
          </w:p>
        </w:tc>
        <w:tc>
          <w:tcPr>
            <w:tcW w:w="1530" w:type="dxa"/>
            <w:shd w:val="clear" w:color="auto" w:fill="418FDE"/>
            <w:noWrap/>
            <w:vAlign w:val="center"/>
          </w:tcPr>
          <w:p w14:paraId="0D3547B9"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C3C3C3" w:themeFill="background2" w:themeFillShade="E6"/>
            <w:noWrap/>
            <w:vAlign w:val="center"/>
          </w:tcPr>
          <w:p w14:paraId="500D45FE"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60C90A52">
              <w:rPr>
                <w:rFonts w:eastAsia="Times New Roman" w:cs="Open Sans"/>
                <w:sz w:val="16"/>
                <w:szCs w:val="16"/>
                <w:lang w:val="en-US" w:eastAsia="ko-KR"/>
              </w:rPr>
              <w:t>N/A</w:t>
            </w:r>
          </w:p>
        </w:tc>
        <w:tc>
          <w:tcPr>
            <w:tcW w:w="1710" w:type="dxa"/>
            <w:shd w:val="clear" w:color="auto" w:fill="F7CE67"/>
            <w:noWrap/>
            <w:vAlign w:val="center"/>
          </w:tcPr>
          <w:p w14:paraId="28430D8C" w14:textId="2472D6FD" w:rsidR="00690701" w:rsidRPr="00B22932" w:rsidRDefault="39A111C5">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800" w:type="dxa"/>
            <w:shd w:val="clear" w:color="auto" w:fill="418FDE"/>
            <w:vAlign w:val="center"/>
          </w:tcPr>
          <w:p w14:paraId="2F6B7965"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28C5107B" w14:textId="77777777" w:rsidTr="0C313153">
        <w:trPr>
          <w:trHeight w:val="297"/>
        </w:trPr>
        <w:tc>
          <w:tcPr>
            <w:tcW w:w="1653" w:type="dxa"/>
            <w:shd w:val="clear" w:color="auto" w:fill="F2F2F2" w:themeFill="background1" w:themeFillShade="F2"/>
            <w:noWrap/>
          </w:tcPr>
          <w:p w14:paraId="73E6DD0B"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Ethiopia</w:t>
            </w:r>
          </w:p>
        </w:tc>
        <w:tc>
          <w:tcPr>
            <w:tcW w:w="1037" w:type="dxa"/>
            <w:shd w:val="clear" w:color="auto" w:fill="F2F2F2" w:themeFill="background1" w:themeFillShade="F2"/>
            <w:vAlign w:val="center"/>
          </w:tcPr>
          <w:p w14:paraId="7ABAF125"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UNDP</w:t>
            </w:r>
          </w:p>
        </w:tc>
        <w:tc>
          <w:tcPr>
            <w:tcW w:w="1720" w:type="dxa"/>
            <w:shd w:val="clear" w:color="auto" w:fill="F7CE67"/>
            <w:vAlign w:val="center"/>
          </w:tcPr>
          <w:p w14:paraId="70C205E9"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44" w:type="dxa"/>
            <w:shd w:val="clear" w:color="auto" w:fill="F7CE67"/>
            <w:noWrap/>
            <w:vAlign w:val="center"/>
          </w:tcPr>
          <w:p w14:paraId="5E69A405"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501" w:type="dxa"/>
            <w:shd w:val="clear" w:color="auto" w:fill="F7CE67"/>
            <w:vAlign w:val="center"/>
          </w:tcPr>
          <w:p w14:paraId="15C62EB5" w14:textId="77777777" w:rsidR="00690701" w:rsidRPr="008863B8" w:rsidRDefault="00690701">
            <w:pPr>
              <w:spacing w:before="60" w:after="60" w:line="240" w:lineRule="auto"/>
              <w:jc w:val="center"/>
              <w:rPr>
                <w:rFonts w:eastAsia="Times New Roman" w:cs="Open Sans"/>
                <w:color w:val="000000" w:themeColor="text1"/>
                <w:kern w:val="0"/>
                <w:sz w:val="16"/>
                <w:szCs w:val="16"/>
                <w:lang w:val="en-US" w:eastAsia="ko-KR"/>
                <w14:ligatures w14:val="none"/>
              </w:rPr>
            </w:pPr>
            <w:r w:rsidRPr="008863B8">
              <w:rPr>
                <w:rFonts w:eastAsia="Times New Roman" w:cs="Open Sans"/>
                <w:color w:val="000000" w:themeColor="text1"/>
                <w:kern w:val="0"/>
                <w:sz w:val="16"/>
                <w:szCs w:val="16"/>
                <w:lang w:val="en-US" w:eastAsia="ko-KR"/>
                <w14:ligatures w14:val="none"/>
              </w:rPr>
              <w:t>On-track</w:t>
            </w:r>
          </w:p>
        </w:tc>
        <w:tc>
          <w:tcPr>
            <w:tcW w:w="1620" w:type="dxa"/>
            <w:shd w:val="clear" w:color="auto" w:fill="F7CE67"/>
            <w:noWrap/>
            <w:vAlign w:val="center"/>
          </w:tcPr>
          <w:p w14:paraId="6EFA95E4" w14:textId="21C6E8FD" w:rsidR="00690701" w:rsidRPr="00B22932" w:rsidRDefault="4A243629">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440" w:type="dxa"/>
            <w:shd w:val="clear" w:color="auto" w:fill="F7CE67"/>
            <w:noWrap/>
            <w:vAlign w:val="center"/>
          </w:tcPr>
          <w:p w14:paraId="1E553840" w14:textId="77777777" w:rsidR="00690701" w:rsidRPr="00B22932" w:rsidRDefault="56828CD1">
            <w:pPr>
              <w:spacing w:before="60" w:after="60" w:line="240" w:lineRule="auto"/>
              <w:jc w:val="center"/>
              <w:rPr>
                <w:rFonts w:eastAsia="Times New Roman" w:cs="Open Sans"/>
                <w:color w:val="FFFFFF" w:themeColor="background1"/>
                <w:kern w:val="0"/>
                <w:sz w:val="16"/>
                <w:szCs w:val="16"/>
                <w:lang w:val="en-US" w:eastAsia="ko-KR"/>
                <w14:ligatures w14:val="none"/>
              </w:rPr>
            </w:pPr>
            <w:r w:rsidRPr="1B478FB1">
              <w:rPr>
                <w:rFonts w:eastAsia="Times New Roman" w:cs="Open Sans"/>
                <w:color w:val="FFFFFF" w:themeColor="background1"/>
                <w:kern w:val="0"/>
                <w:sz w:val="16"/>
                <w:szCs w:val="16"/>
                <w:lang w:val="en-US" w:eastAsia="ko-KR"/>
                <w14:ligatures w14:val="none"/>
              </w:rPr>
              <w:t>On-track</w:t>
            </w:r>
          </w:p>
        </w:tc>
        <w:tc>
          <w:tcPr>
            <w:tcW w:w="1530" w:type="dxa"/>
            <w:shd w:val="clear" w:color="auto" w:fill="F7CE67"/>
            <w:noWrap/>
            <w:vAlign w:val="center"/>
          </w:tcPr>
          <w:p w14:paraId="465BC2CC" w14:textId="77777777" w:rsidR="00690701" w:rsidRPr="00B22932" w:rsidRDefault="56828CD1">
            <w:pPr>
              <w:spacing w:before="60" w:after="60" w:line="240" w:lineRule="auto"/>
              <w:jc w:val="center"/>
              <w:rPr>
                <w:rFonts w:eastAsia="Times New Roman" w:cs="Open Sans"/>
                <w:color w:val="FFFFFF" w:themeColor="background1"/>
                <w:kern w:val="0"/>
                <w:sz w:val="16"/>
                <w:szCs w:val="16"/>
                <w:lang w:val="en-US" w:eastAsia="ko-KR"/>
                <w14:ligatures w14:val="none"/>
              </w:rPr>
            </w:pPr>
            <w:r w:rsidRPr="1B478FB1">
              <w:rPr>
                <w:rFonts w:eastAsia="Times New Roman" w:cs="Open Sans"/>
                <w:color w:val="FFFFFF" w:themeColor="background1"/>
                <w:kern w:val="0"/>
                <w:sz w:val="16"/>
                <w:szCs w:val="16"/>
                <w:lang w:val="en-US" w:eastAsia="ko-KR"/>
                <w14:ligatures w14:val="none"/>
              </w:rPr>
              <w:t>On-track</w:t>
            </w:r>
          </w:p>
        </w:tc>
        <w:tc>
          <w:tcPr>
            <w:tcW w:w="1620" w:type="dxa"/>
            <w:shd w:val="clear" w:color="auto" w:fill="F7CE67"/>
            <w:noWrap/>
            <w:vAlign w:val="center"/>
          </w:tcPr>
          <w:p w14:paraId="494CD3E4" w14:textId="21EDEFC2" w:rsidR="00690701" w:rsidRPr="00B22932" w:rsidRDefault="1815A159">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710" w:type="dxa"/>
            <w:shd w:val="clear" w:color="auto" w:fill="F7CE67"/>
            <w:noWrap/>
            <w:vAlign w:val="center"/>
          </w:tcPr>
          <w:p w14:paraId="2369AC1E" w14:textId="3972EC85" w:rsidR="00690701" w:rsidRPr="00B22932" w:rsidRDefault="1815A159">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800" w:type="dxa"/>
            <w:shd w:val="clear" w:color="auto" w:fill="F7CE67"/>
            <w:vAlign w:val="center"/>
          </w:tcPr>
          <w:p w14:paraId="27FCD005" w14:textId="2908CC79" w:rsidR="00690701" w:rsidRPr="00B22932" w:rsidRDefault="1815A159">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r>
      <w:tr w:rsidR="00690701" w:rsidRPr="008D26AB" w14:paraId="14F1FC10" w14:textId="77777777" w:rsidTr="0C313153">
        <w:trPr>
          <w:trHeight w:val="297"/>
        </w:trPr>
        <w:tc>
          <w:tcPr>
            <w:tcW w:w="1653" w:type="dxa"/>
            <w:shd w:val="clear" w:color="auto" w:fill="F2F2F2" w:themeFill="background1" w:themeFillShade="F2"/>
            <w:noWrap/>
          </w:tcPr>
          <w:p w14:paraId="2B160F28"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Kiribati</w:t>
            </w:r>
          </w:p>
        </w:tc>
        <w:tc>
          <w:tcPr>
            <w:tcW w:w="1037" w:type="dxa"/>
            <w:shd w:val="clear" w:color="auto" w:fill="F2F2F2" w:themeFill="background1" w:themeFillShade="F2"/>
            <w:vAlign w:val="center"/>
          </w:tcPr>
          <w:p w14:paraId="08504E85"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UNEP</w:t>
            </w:r>
          </w:p>
        </w:tc>
        <w:tc>
          <w:tcPr>
            <w:tcW w:w="1720" w:type="dxa"/>
            <w:shd w:val="clear" w:color="auto" w:fill="F7CE67"/>
            <w:vAlign w:val="center"/>
          </w:tcPr>
          <w:p w14:paraId="0BE107C1" w14:textId="77777777" w:rsidR="00690701" w:rsidRPr="00297FF5" w:rsidRDefault="00690701">
            <w:pPr>
              <w:spacing w:before="60" w:after="60" w:line="240" w:lineRule="auto"/>
              <w:jc w:val="center"/>
              <w:rPr>
                <w:rFonts w:eastAsia="Times New Roman" w:cs="Open Sans"/>
                <w:color w:val="FFFFFF" w:themeColor="background1"/>
                <w:sz w:val="16"/>
                <w:szCs w:val="16"/>
                <w:lang w:val="en-US" w:eastAsia="ko-KR"/>
              </w:rPr>
            </w:pPr>
            <w:r w:rsidRPr="4750EBBE">
              <w:rPr>
                <w:rFonts w:eastAsia="Times New Roman" w:cs="Open Sans"/>
                <w:sz w:val="16"/>
                <w:szCs w:val="16"/>
                <w:lang w:val="en-US" w:eastAsia="ko-KR"/>
              </w:rPr>
              <w:t xml:space="preserve">On-track </w:t>
            </w:r>
          </w:p>
        </w:tc>
        <w:tc>
          <w:tcPr>
            <w:tcW w:w="1644" w:type="dxa"/>
            <w:shd w:val="clear" w:color="auto" w:fill="418FDE"/>
            <w:noWrap/>
            <w:vAlign w:val="center"/>
          </w:tcPr>
          <w:p w14:paraId="52F33CDF" w14:textId="2AE6CD5E" w:rsidR="00690701" w:rsidRPr="00297FF5" w:rsidRDefault="1AD7D789">
            <w:pPr>
              <w:spacing w:before="60" w:after="60" w:line="240" w:lineRule="auto"/>
              <w:jc w:val="center"/>
              <w:rPr>
                <w:rFonts w:eastAsia="Times New Roman" w:cs="Open Sans"/>
                <w:color w:val="FFFFFF" w:themeColor="background1"/>
                <w:sz w:val="16"/>
                <w:szCs w:val="16"/>
                <w:lang w:val="en-US" w:eastAsia="ko-KR"/>
              </w:rPr>
            </w:pPr>
            <w:r w:rsidRPr="0CDC71C7">
              <w:rPr>
                <w:rFonts w:eastAsia="Times New Roman" w:cs="Open Sans"/>
                <w:color w:val="FFFFFF" w:themeColor="background1"/>
                <w:sz w:val="16"/>
                <w:szCs w:val="16"/>
                <w:lang w:val="en-US" w:eastAsia="ko-KR"/>
              </w:rPr>
              <w:t>Not yet started</w:t>
            </w:r>
            <w:r w:rsidR="158755EF" w:rsidRPr="0CDC71C7">
              <w:rPr>
                <w:rFonts w:eastAsia="Times New Roman" w:cs="Open Sans"/>
                <w:color w:val="FFFFFF" w:themeColor="background1"/>
                <w:sz w:val="16"/>
                <w:szCs w:val="16"/>
                <w:lang w:val="en-US" w:eastAsia="ko-KR"/>
              </w:rPr>
              <w:t xml:space="preserve"> </w:t>
            </w:r>
          </w:p>
        </w:tc>
        <w:tc>
          <w:tcPr>
            <w:tcW w:w="1501" w:type="dxa"/>
            <w:shd w:val="clear" w:color="auto" w:fill="F7CE67"/>
            <w:vAlign w:val="center"/>
          </w:tcPr>
          <w:p w14:paraId="587314F8" w14:textId="77777777" w:rsidR="00690701" w:rsidRPr="00B22932" w:rsidRDefault="00690701">
            <w:pPr>
              <w:spacing w:before="60" w:after="60" w:line="240" w:lineRule="auto"/>
              <w:jc w:val="center"/>
              <w:rPr>
                <w:rFonts w:eastAsia="Times New Roman" w:cs="Open Sans"/>
                <w:sz w:val="16"/>
                <w:szCs w:val="16"/>
                <w:lang w:val="en-US" w:eastAsia="ko-KR"/>
              </w:rPr>
            </w:pPr>
            <w:r w:rsidRPr="5AD2ABAC">
              <w:rPr>
                <w:rFonts w:eastAsia="Times New Roman" w:cs="Open Sans"/>
                <w:sz w:val="16"/>
                <w:szCs w:val="16"/>
                <w:lang w:val="en-US" w:eastAsia="ko-KR"/>
              </w:rPr>
              <w:t>On-track</w:t>
            </w:r>
          </w:p>
        </w:tc>
        <w:tc>
          <w:tcPr>
            <w:tcW w:w="1620" w:type="dxa"/>
            <w:shd w:val="clear" w:color="auto" w:fill="418FDE"/>
            <w:noWrap/>
            <w:vAlign w:val="center"/>
          </w:tcPr>
          <w:p w14:paraId="51F865C1"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440" w:type="dxa"/>
            <w:shd w:val="clear" w:color="auto" w:fill="418FDE"/>
            <w:noWrap/>
            <w:vAlign w:val="center"/>
          </w:tcPr>
          <w:p w14:paraId="41647A06" w14:textId="77777777" w:rsidR="00690701" w:rsidRPr="00B22932" w:rsidRDefault="00690701">
            <w:pPr>
              <w:spacing w:before="60" w:after="60"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530" w:type="dxa"/>
            <w:shd w:val="clear" w:color="auto" w:fill="418FDE"/>
            <w:noWrap/>
            <w:vAlign w:val="center"/>
          </w:tcPr>
          <w:p w14:paraId="46AA1B03" w14:textId="77777777" w:rsidR="00690701" w:rsidRPr="00B22932" w:rsidRDefault="00690701">
            <w:pPr>
              <w:spacing w:before="60" w:after="60" w:line="240" w:lineRule="auto"/>
              <w:jc w:val="center"/>
            </w:pPr>
            <w:r w:rsidRPr="4750EBBE">
              <w:rPr>
                <w:rFonts w:eastAsia="Times New Roman" w:cs="Open Sans"/>
                <w:color w:val="FFFFFF" w:themeColor="background1"/>
                <w:sz w:val="16"/>
                <w:szCs w:val="16"/>
                <w:lang w:val="en-US" w:eastAsia="ko-KR"/>
              </w:rPr>
              <w:t xml:space="preserve">Not yet started </w:t>
            </w:r>
          </w:p>
        </w:tc>
        <w:tc>
          <w:tcPr>
            <w:tcW w:w="1620" w:type="dxa"/>
            <w:shd w:val="clear" w:color="auto" w:fill="418FDE"/>
            <w:noWrap/>
            <w:vAlign w:val="center"/>
          </w:tcPr>
          <w:p w14:paraId="06DB0BF9"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710" w:type="dxa"/>
            <w:shd w:val="clear" w:color="auto" w:fill="418FDE"/>
            <w:noWrap/>
            <w:vAlign w:val="center"/>
          </w:tcPr>
          <w:p w14:paraId="1C6706AF"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vAlign w:val="center"/>
          </w:tcPr>
          <w:p w14:paraId="37781608"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14:paraId="75EA822F" w14:textId="77777777">
        <w:trPr>
          <w:trHeight w:val="297"/>
        </w:trPr>
        <w:tc>
          <w:tcPr>
            <w:tcW w:w="1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25FAC69" w14:textId="77777777" w:rsidR="00690701" w:rsidRDefault="00690701">
            <w:pPr>
              <w:spacing w:line="240" w:lineRule="auto"/>
              <w:jc w:val="left"/>
              <w:rPr>
                <w:rFonts w:eastAsia="Malgun Gothic" w:cs="Open Sans"/>
                <w:b/>
                <w:bCs/>
                <w:color w:val="000000" w:themeColor="text1"/>
                <w:sz w:val="20"/>
                <w:szCs w:val="20"/>
                <w:lang w:val="en-US" w:eastAsia="ko-KR"/>
              </w:rPr>
            </w:pPr>
            <w:r w:rsidRPr="4750EBBE">
              <w:rPr>
                <w:rFonts w:eastAsia="Malgun Gothic" w:cs="Open Sans"/>
                <w:b/>
                <w:bCs/>
                <w:color w:val="000000" w:themeColor="text1"/>
                <w:sz w:val="20"/>
                <w:szCs w:val="20"/>
                <w:lang w:val="en-US" w:eastAsia="ko-KR"/>
              </w:rPr>
              <w:t>Madagascar</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5ED45" w14:textId="77777777" w:rsidR="00690701" w:rsidRDefault="00690701">
            <w:pPr>
              <w:spacing w:line="240" w:lineRule="auto"/>
              <w:jc w:val="left"/>
              <w:rPr>
                <w:sz w:val="20"/>
                <w:szCs w:val="20"/>
              </w:rPr>
            </w:pPr>
            <w:r w:rsidRPr="4750EBBE">
              <w:rPr>
                <w:sz w:val="20"/>
                <w:szCs w:val="20"/>
              </w:rPr>
              <w:t>UNDP</w:t>
            </w:r>
          </w:p>
        </w:tc>
        <w:tc>
          <w:tcPr>
            <w:tcW w:w="1720" w:type="dxa"/>
            <w:tcBorders>
              <w:top w:val="single" w:sz="4" w:space="0" w:color="auto"/>
              <w:left w:val="single" w:sz="4" w:space="0" w:color="auto"/>
              <w:bottom w:val="single" w:sz="4" w:space="0" w:color="auto"/>
              <w:right w:val="single" w:sz="4" w:space="0" w:color="auto"/>
            </w:tcBorders>
            <w:shd w:val="clear" w:color="auto" w:fill="F7CE67"/>
            <w:vAlign w:val="center"/>
          </w:tcPr>
          <w:p w14:paraId="204C4197"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sz w:val="16"/>
                <w:szCs w:val="16"/>
                <w:lang w:val="en-US" w:eastAsia="ko-KR"/>
              </w:rPr>
              <w:t xml:space="preserve">On-track </w:t>
            </w:r>
          </w:p>
        </w:tc>
        <w:tc>
          <w:tcPr>
            <w:tcW w:w="1644" w:type="dxa"/>
            <w:tcBorders>
              <w:top w:val="single" w:sz="4" w:space="0" w:color="auto"/>
              <w:left w:val="single" w:sz="4" w:space="0" w:color="auto"/>
              <w:bottom w:val="single" w:sz="4" w:space="0" w:color="auto"/>
              <w:right w:val="single" w:sz="4" w:space="0" w:color="auto"/>
            </w:tcBorders>
            <w:shd w:val="clear" w:color="auto" w:fill="418FDE"/>
            <w:noWrap/>
            <w:vAlign w:val="center"/>
          </w:tcPr>
          <w:p w14:paraId="287D094F"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501" w:type="dxa"/>
            <w:tcBorders>
              <w:top w:val="single" w:sz="4" w:space="0" w:color="auto"/>
              <w:left w:val="single" w:sz="4" w:space="0" w:color="auto"/>
              <w:bottom w:val="single" w:sz="4" w:space="0" w:color="auto"/>
              <w:right w:val="single" w:sz="4" w:space="0" w:color="auto"/>
            </w:tcBorders>
            <w:shd w:val="clear" w:color="auto" w:fill="418FDE"/>
            <w:vAlign w:val="center"/>
          </w:tcPr>
          <w:p w14:paraId="5FDAF22A"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620" w:type="dxa"/>
            <w:tcBorders>
              <w:top w:val="single" w:sz="4" w:space="0" w:color="auto"/>
              <w:left w:val="single" w:sz="4" w:space="0" w:color="auto"/>
              <w:bottom w:val="single" w:sz="4" w:space="0" w:color="auto"/>
              <w:right w:val="single" w:sz="4" w:space="0" w:color="auto"/>
            </w:tcBorders>
            <w:shd w:val="clear" w:color="auto" w:fill="418FDE"/>
            <w:noWrap/>
            <w:vAlign w:val="center"/>
          </w:tcPr>
          <w:p w14:paraId="6D89269F"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440" w:type="dxa"/>
            <w:tcBorders>
              <w:top w:val="single" w:sz="4" w:space="0" w:color="auto"/>
              <w:left w:val="single" w:sz="4" w:space="0" w:color="auto"/>
              <w:bottom w:val="single" w:sz="4" w:space="0" w:color="auto"/>
              <w:right w:val="single" w:sz="4" w:space="0" w:color="auto"/>
            </w:tcBorders>
            <w:shd w:val="clear" w:color="auto" w:fill="418FDE"/>
            <w:noWrap/>
            <w:vAlign w:val="center"/>
          </w:tcPr>
          <w:p w14:paraId="419B9B25"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530" w:type="dxa"/>
            <w:tcBorders>
              <w:top w:val="single" w:sz="4" w:space="0" w:color="auto"/>
              <w:left w:val="single" w:sz="4" w:space="0" w:color="auto"/>
              <w:bottom w:val="single" w:sz="4" w:space="0" w:color="auto"/>
              <w:right w:val="single" w:sz="4" w:space="0" w:color="auto"/>
            </w:tcBorders>
            <w:shd w:val="clear" w:color="auto" w:fill="418FDE"/>
            <w:noWrap/>
            <w:vAlign w:val="center"/>
          </w:tcPr>
          <w:p w14:paraId="099BBE2D"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620" w:type="dxa"/>
            <w:tcBorders>
              <w:top w:val="single" w:sz="4" w:space="0" w:color="auto"/>
              <w:left w:val="single" w:sz="4" w:space="0" w:color="auto"/>
              <w:bottom w:val="single" w:sz="4" w:space="0" w:color="auto"/>
              <w:right w:val="single" w:sz="4" w:space="0" w:color="auto"/>
            </w:tcBorders>
            <w:shd w:val="clear" w:color="auto" w:fill="418FDE"/>
            <w:noWrap/>
            <w:vAlign w:val="center"/>
          </w:tcPr>
          <w:p w14:paraId="36DB6EC2"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710" w:type="dxa"/>
            <w:tcBorders>
              <w:top w:val="single" w:sz="4" w:space="0" w:color="auto"/>
              <w:left w:val="single" w:sz="4" w:space="0" w:color="auto"/>
              <w:bottom w:val="single" w:sz="4" w:space="0" w:color="auto"/>
              <w:right w:val="single" w:sz="4" w:space="0" w:color="auto"/>
            </w:tcBorders>
            <w:shd w:val="clear" w:color="auto" w:fill="418FDE"/>
            <w:noWrap/>
            <w:vAlign w:val="center"/>
          </w:tcPr>
          <w:p w14:paraId="1B34DAFA"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800" w:type="dxa"/>
            <w:tcBorders>
              <w:top w:val="single" w:sz="4" w:space="0" w:color="auto"/>
              <w:left w:val="single" w:sz="4" w:space="0" w:color="auto"/>
              <w:bottom w:val="single" w:sz="4" w:space="0" w:color="auto"/>
              <w:right w:val="single" w:sz="4" w:space="0" w:color="auto"/>
            </w:tcBorders>
            <w:shd w:val="clear" w:color="auto" w:fill="418FDE"/>
            <w:vAlign w:val="center"/>
          </w:tcPr>
          <w:p w14:paraId="55C15BC5"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r>
      <w:tr w:rsidR="00690701" w:rsidRPr="008D26AB" w14:paraId="0CF1DE6E" w14:textId="77777777" w:rsidTr="0C313153">
        <w:trPr>
          <w:trHeight w:val="297"/>
        </w:trPr>
        <w:tc>
          <w:tcPr>
            <w:tcW w:w="1653" w:type="dxa"/>
            <w:shd w:val="clear" w:color="auto" w:fill="F2F2F2" w:themeFill="background1" w:themeFillShade="F2"/>
            <w:noWrap/>
          </w:tcPr>
          <w:p w14:paraId="40913B50"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Maldives</w:t>
            </w:r>
          </w:p>
        </w:tc>
        <w:tc>
          <w:tcPr>
            <w:tcW w:w="1037" w:type="dxa"/>
            <w:shd w:val="clear" w:color="auto" w:fill="F2F2F2" w:themeFill="background1" w:themeFillShade="F2"/>
            <w:vAlign w:val="center"/>
          </w:tcPr>
          <w:p w14:paraId="1E9D37D1"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UNEP</w:t>
            </w:r>
          </w:p>
        </w:tc>
        <w:tc>
          <w:tcPr>
            <w:tcW w:w="1720" w:type="dxa"/>
            <w:shd w:val="clear" w:color="auto" w:fill="F7CE67"/>
            <w:vAlign w:val="center"/>
          </w:tcPr>
          <w:p w14:paraId="107318E8"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44" w:type="dxa"/>
            <w:shd w:val="clear" w:color="auto" w:fill="418FDE"/>
            <w:noWrap/>
            <w:vAlign w:val="center"/>
          </w:tcPr>
          <w:p w14:paraId="2A8F36CD"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A40BD3">
              <w:rPr>
                <w:rFonts w:eastAsia="Times New Roman" w:cs="Open Sans"/>
                <w:color w:val="FFFFFF" w:themeColor="background1"/>
                <w:kern w:val="0"/>
                <w:sz w:val="16"/>
                <w:szCs w:val="16"/>
                <w:lang w:val="en-US" w:eastAsia="ko-KR"/>
                <w14:ligatures w14:val="none"/>
              </w:rPr>
              <w:t>Not yet started</w:t>
            </w:r>
          </w:p>
        </w:tc>
        <w:tc>
          <w:tcPr>
            <w:tcW w:w="1501" w:type="dxa"/>
            <w:shd w:val="clear" w:color="auto" w:fill="F7CE67"/>
            <w:vAlign w:val="center"/>
          </w:tcPr>
          <w:p w14:paraId="53362AFE"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A40BD3">
              <w:rPr>
                <w:rFonts w:eastAsia="Times New Roman" w:cs="Open Sans"/>
                <w:color w:val="000000" w:themeColor="text1"/>
                <w:kern w:val="0"/>
                <w:sz w:val="16"/>
                <w:szCs w:val="16"/>
                <w:lang w:val="en-US" w:eastAsia="ko-KR"/>
                <w14:ligatures w14:val="none"/>
              </w:rPr>
              <w:t>On-track</w:t>
            </w:r>
          </w:p>
        </w:tc>
        <w:tc>
          <w:tcPr>
            <w:tcW w:w="1620" w:type="dxa"/>
            <w:shd w:val="clear" w:color="auto" w:fill="F7CE67"/>
            <w:noWrap/>
            <w:vAlign w:val="center"/>
          </w:tcPr>
          <w:p w14:paraId="601C27EA" w14:textId="77777777" w:rsidR="00690701" w:rsidRPr="00B22932" w:rsidRDefault="00690701">
            <w:pPr>
              <w:spacing w:before="60" w:after="60" w:line="240" w:lineRule="auto"/>
              <w:jc w:val="center"/>
              <w:rPr>
                <w:rFonts w:eastAsia="Times New Roman" w:cs="Open Sans"/>
                <w:sz w:val="16"/>
                <w:szCs w:val="16"/>
                <w:lang w:val="en-US" w:eastAsia="ko-KR"/>
              </w:rPr>
            </w:pPr>
            <w:r w:rsidRPr="5AD2ABAC">
              <w:rPr>
                <w:rFonts w:eastAsia="Times New Roman" w:cs="Open Sans"/>
                <w:sz w:val="16"/>
                <w:szCs w:val="16"/>
                <w:lang w:val="en-US" w:eastAsia="ko-KR"/>
              </w:rPr>
              <w:t>On-track</w:t>
            </w:r>
          </w:p>
        </w:tc>
        <w:tc>
          <w:tcPr>
            <w:tcW w:w="1440" w:type="dxa"/>
            <w:shd w:val="clear" w:color="auto" w:fill="F7CE67"/>
            <w:noWrap/>
            <w:vAlign w:val="center"/>
          </w:tcPr>
          <w:p w14:paraId="33342D73" w14:textId="77777777" w:rsidR="00690701" w:rsidRPr="00B22932" w:rsidRDefault="00690701">
            <w:pPr>
              <w:spacing w:before="60" w:after="60" w:line="240" w:lineRule="auto"/>
              <w:jc w:val="center"/>
              <w:rPr>
                <w:rFonts w:eastAsia="Times New Roman" w:cs="Open Sans"/>
                <w:sz w:val="16"/>
                <w:szCs w:val="16"/>
                <w:lang w:val="en-US" w:eastAsia="ko-KR"/>
              </w:rPr>
            </w:pPr>
            <w:r w:rsidRPr="5AD2ABAC">
              <w:rPr>
                <w:rFonts w:eastAsia="Times New Roman" w:cs="Open Sans"/>
                <w:sz w:val="16"/>
                <w:szCs w:val="16"/>
                <w:lang w:val="en-US" w:eastAsia="ko-KR"/>
              </w:rPr>
              <w:t>On-track</w:t>
            </w:r>
          </w:p>
        </w:tc>
        <w:tc>
          <w:tcPr>
            <w:tcW w:w="1530" w:type="dxa"/>
            <w:shd w:val="clear" w:color="auto" w:fill="418FDE"/>
            <w:noWrap/>
            <w:vAlign w:val="center"/>
          </w:tcPr>
          <w:p w14:paraId="73C06EC3"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418FDE"/>
            <w:noWrap/>
            <w:vAlign w:val="center"/>
          </w:tcPr>
          <w:p w14:paraId="386634D0"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710" w:type="dxa"/>
            <w:shd w:val="clear" w:color="auto" w:fill="F7CE67"/>
            <w:noWrap/>
            <w:vAlign w:val="center"/>
          </w:tcPr>
          <w:p w14:paraId="4404E0B6" w14:textId="75F1D0E1" w:rsidR="00690701" w:rsidRPr="00B22932" w:rsidRDefault="3070A1EE">
            <w:pPr>
              <w:spacing w:before="60" w:after="60" w:line="240" w:lineRule="auto"/>
              <w:jc w:val="center"/>
              <w:rPr>
                <w:rFonts w:eastAsia="Times New Roman" w:cs="Open Sans"/>
                <w:color w:val="FFFFFF" w:themeColor="background1"/>
                <w:sz w:val="16"/>
                <w:szCs w:val="16"/>
                <w:lang w:val="en-US" w:eastAsia="ko-KR"/>
              </w:rPr>
            </w:pPr>
            <w:r w:rsidRPr="0CDC71C7">
              <w:rPr>
                <w:rFonts w:eastAsia="Times New Roman" w:cs="Open Sans"/>
                <w:sz w:val="16"/>
                <w:szCs w:val="16"/>
                <w:lang w:val="en-US" w:eastAsia="ko-KR"/>
              </w:rPr>
              <w:t>On-track</w:t>
            </w:r>
            <w:r w:rsidR="158755EF" w:rsidRPr="0CDC71C7">
              <w:rPr>
                <w:rFonts w:eastAsia="Times New Roman" w:cs="Open Sans"/>
                <w:sz w:val="16"/>
                <w:szCs w:val="16"/>
                <w:lang w:val="en-US" w:eastAsia="ko-KR"/>
              </w:rPr>
              <w:t xml:space="preserve"> </w:t>
            </w:r>
          </w:p>
        </w:tc>
        <w:tc>
          <w:tcPr>
            <w:tcW w:w="1800" w:type="dxa"/>
            <w:shd w:val="clear" w:color="auto" w:fill="F7CE67"/>
            <w:vAlign w:val="center"/>
          </w:tcPr>
          <w:p w14:paraId="0A2D7518" w14:textId="39C1B3A6" w:rsidR="00690701" w:rsidRPr="00B22932" w:rsidRDefault="6C3812DE">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r>
      <w:tr w:rsidR="00690701" w:rsidRPr="008D26AB" w14:paraId="2F46D6CB" w14:textId="77777777" w:rsidTr="0C313153">
        <w:trPr>
          <w:trHeight w:val="297"/>
        </w:trPr>
        <w:tc>
          <w:tcPr>
            <w:tcW w:w="1653" w:type="dxa"/>
            <w:shd w:val="clear" w:color="auto" w:fill="F2F2F2" w:themeFill="background1" w:themeFillShade="F2"/>
            <w:noWrap/>
          </w:tcPr>
          <w:p w14:paraId="35EEEB18" w14:textId="77777777" w:rsidR="00690701" w:rsidRPr="002306A8" w:rsidRDefault="00690701">
            <w:pPr>
              <w:spacing w:before="60" w:after="60" w:line="240" w:lineRule="auto"/>
              <w:jc w:val="left"/>
              <w:rPr>
                <w:rFonts w:eastAsia="Times New Roman" w:cs="Open Sans"/>
                <w:b/>
                <w:color w:val="000000"/>
                <w:kern w:val="0"/>
                <w:sz w:val="20"/>
                <w:szCs w:val="20"/>
                <w:lang w:val="en-US" w:eastAsia="ko-KR"/>
                <w14:ligatures w14:val="none"/>
              </w:rPr>
            </w:pPr>
            <w:r w:rsidRPr="002306A8">
              <w:rPr>
                <w:rFonts w:eastAsia="Malgun Gothic" w:cs="Open Sans" w:hint="eastAsia"/>
                <w:b/>
                <w:color w:val="000000"/>
                <w:kern w:val="0"/>
                <w:sz w:val="20"/>
                <w:szCs w:val="20"/>
                <w:lang w:val="en-US" w:eastAsia="ko-KR"/>
                <w14:ligatures w14:val="none"/>
              </w:rPr>
              <w:t>Mozambique</w:t>
            </w:r>
          </w:p>
        </w:tc>
        <w:tc>
          <w:tcPr>
            <w:tcW w:w="1037" w:type="dxa"/>
            <w:shd w:val="clear" w:color="auto" w:fill="F2F2F2" w:themeFill="background1" w:themeFillShade="F2"/>
            <w:vAlign w:val="center"/>
          </w:tcPr>
          <w:p w14:paraId="29BDB5FC"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WFP</w:t>
            </w:r>
          </w:p>
        </w:tc>
        <w:tc>
          <w:tcPr>
            <w:tcW w:w="1720" w:type="dxa"/>
            <w:shd w:val="clear" w:color="auto" w:fill="F7CE67"/>
            <w:vAlign w:val="center"/>
          </w:tcPr>
          <w:p w14:paraId="6DFB5C36" w14:textId="77777777" w:rsidR="00690701" w:rsidRPr="00297FF5" w:rsidRDefault="00690701">
            <w:pPr>
              <w:spacing w:before="60" w:after="60" w:line="240" w:lineRule="auto"/>
              <w:jc w:val="center"/>
              <w:rPr>
                <w:rFonts w:eastAsia="Times New Roman" w:cs="Open Sans"/>
                <w:sz w:val="16"/>
                <w:szCs w:val="16"/>
                <w:lang w:val="en-US" w:eastAsia="ko-KR"/>
              </w:rPr>
            </w:pPr>
            <w:r w:rsidRPr="779DF4D4">
              <w:rPr>
                <w:rFonts w:eastAsia="Times New Roman" w:cs="Open Sans"/>
                <w:sz w:val="16"/>
                <w:szCs w:val="16"/>
                <w:lang w:val="en-US" w:eastAsia="ko-KR"/>
              </w:rPr>
              <w:t>On-track</w:t>
            </w:r>
          </w:p>
        </w:tc>
        <w:tc>
          <w:tcPr>
            <w:tcW w:w="1644" w:type="dxa"/>
            <w:shd w:val="clear" w:color="auto" w:fill="F7CE67"/>
            <w:noWrap/>
            <w:vAlign w:val="center"/>
          </w:tcPr>
          <w:p w14:paraId="5F0D7163" w14:textId="77777777" w:rsidR="00690701" w:rsidRPr="00297FF5" w:rsidRDefault="00690701">
            <w:pPr>
              <w:spacing w:before="60" w:after="60" w:line="240" w:lineRule="auto"/>
              <w:jc w:val="center"/>
              <w:rPr>
                <w:rFonts w:eastAsia="Times New Roman" w:cs="Open Sans"/>
                <w:sz w:val="16"/>
                <w:szCs w:val="16"/>
                <w:lang w:val="en-US" w:eastAsia="ko-KR"/>
              </w:rPr>
            </w:pPr>
            <w:r w:rsidRPr="779DF4D4">
              <w:rPr>
                <w:rFonts w:eastAsia="Times New Roman" w:cs="Open Sans"/>
                <w:sz w:val="16"/>
                <w:szCs w:val="16"/>
                <w:lang w:val="en-US" w:eastAsia="ko-KR"/>
              </w:rPr>
              <w:t>On-track</w:t>
            </w:r>
          </w:p>
        </w:tc>
        <w:tc>
          <w:tcPr>
            <w:tcW w:w="1501" w:type="dxa"/>
            <w:shd w:val="clear" w:color="auto" w:fill="F7CE67"/>
            <w:vAlign w:val="center"/>
          </w:tcPr>
          <w:p w14:paraId="21C3C0DA" w14:textId="77777777" w:rsidR="00690701" w:rsidRPr="00297FF5" w:rsidRDefault="00690701">
            <w:pPr>
              <w:spacing w:before="60" w:after="60" w:line="240" w:lineRule="auto"/>
              <w:jc w:val="center"/>
              <w:rPr>
                <w:rFonts w:eastAsia="Times New Roman" w:cs="Open Sans"/>
                <w:sz w:val="16"/>
                <w:szCs w:val="16"/>
                <w:lang w:val="en-US" w:eastAsia="ko-KR"/>
              </w:rPr>
            </w:pPr>
            <w:r w:rsidRPr="4750EBBE">
              <w:rPr>
                <w:rFonts w:eastAsia="Times New Roman" w:cs="Open Sans"/>
                <w:sz w:val="16"/>
                <w:szCs w:val="16"/>
                <w:lang w:val="en-US" w:eastAsia="ko-KR"/>
              </w:rPr>
              <w:t>On-track</w:t>
            </w:r>
          </w:p>
        </w:tc>
        <w:tc>
          <w:tcPr>
            <w:tcW w:w="1620" w:type="dxa"/>
            <w:shd w:val="clear" w:color="auto" w:fill="F7CE67"/>
            <w:noWrap/>
            <w:vAlign w:val="center"/>
          </w:tcPr>
          <w:p w14:paraId="6DCA3586" w14:textId="759B2B46" w:rsidR="00690701" w:rsidRPr="00D7427D" w:rsidRDefault="48869C8D">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440" w:type="dxa"/>
            <w:shd w:val="clear" w:color="auto" w:fill="F7CE67"/>
            <w:noWrap/>
            <w:vAlign w:val="center"/>
          </w:tcPr>
          <w:p w14:paraId="017436B7" w14:textId="587282A0" w:rsidR="00690701" w:rsidRPr="00D7427D" w:rsidRDefault="48869C8D">
            <w:pPr>
              <w:spacing w:before="60" w:after="60" w:line="240" w:lineRule="auto"/>
              <w:jc w:val="center"/>
              <w:rPr>
                <w:rFonts w:eastAsia="Times New Roman" w:cs="Open Sans"/>
                <w:sz w:val="16"/>
                <w:szCs w:val="16"/>
                <w:lang w:val="en-US" w:eastAsia="ko-KR"/>
              </w:rPr>
            </w:pPr>
            <w:r w:rsidRPr="0CDC71C7">
              <w:rPr>
                <w:rFonts w:eastAsia="Times New Roman" w:cs="Open Sans"/>
                <w:sz w:val="16"/>
                <w:szCs w:val="16"/>
                <w:lang w:val="en-US" w:eastAsia="ko-KR"/>
              </w:rPr>
              <w:t>On-track</w:t>
            </w:r>
          </w:p>
        </w:tc>
        <w:tc>
          <w:tcPr>
            <w:tcW w:w="1530" w:type="dxa"/>
            <w:shd w:val="clear" w:color="auto" w:fill="F7CE67"/>
            <w:noWrap/>
            <w:vAlign w:val="center"/>
          </w:tcPr>
          <w:p w14:paraId="6263C6A5"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20" w:type="dxa"/>
            <w:shd w:val="clear" w:color="auto" w:fill="C3C3C3" w:themeFill="background2" w:themeFillShade="E6"/>
            <w:noWrap/>
            <w:vAlign w:val="center"/>
          </w:tcPr>
          <w:p w14:paraId="28C8A2AD"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60C90A52">
              <w:rPr>
                <w:rFonts w:eastAsia="Times New Roman" w:cs="Open Sans"/>
                <w:color w:val="000000" w:themeColor="text1"/>
                <w:sz w:val="16"/>
                <w:szCs w:val="16"/>
                <w:lang w:val="en-US" w:eastAsia="ko-KR"/>
              </w:rPr>
              <w:t>N/A</w:t>
            </w:r>
          </w:p>
        </w:tc>
        <w:tc>
          <w:tcPr>
            <w:tcW w:w="1710" w:type="dxa"/>
            <w:shd w:val="clear" w:color="auto" w:fill="418FDE"/>
            <w:noWrap/>
            <w:vAlign w:val="center"/>
          </w:tcPr>
          <w:p w14:paraId="34159A05" w14:textId="77777777" w:rsidR="00690701" w:rsidRPr="00B22932" w:rsidRDefault="00690701">
            <w:pPr>
              <w:spacing w:before="60" w:after="60"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 xml:space="preserve">Not yet started </w:t>
            </w:r>
          </w:p>
        </w:tc>
        <w:tc>
          <w:tcPr>
            <w:tcW w:w="1800" w:type="dxa"/>
            <w:shd w:val="clear" w:color="auto" w:fill="418FDE"/>
            <w:vAlign w:val="center"/>
          </w:tcPr>
          <w:p w14:paraId="3BC27D1F"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5EBC0BE8" w14:textId="77777777" w:rsidTr="0C313153">
        <w:trPr>
          <w:trHeight w:val="83"/>
        </w:trPr>
        <w:tc>
          <w:tcPr>
            <w:tcW w:w="1653" w:type="dxa"/>
            <w:shd w:val="clear" w:color="auto" w:fill="F2F2F2" w:themeFill="background1" w:themeFillShade="F2"/>
            <w:noWrap/>
          </w:tcPr>
          <w:p w14:paraId="4BAAFCFE" w14:textId="77777777" w:rsidR="00690701" w:rsidRPr="002306A8" w:rsidRDefault="00690701">
            <w:pPr>
              <w:spacing w:before="60" w:after="60" w:line="240" w:lineRule="auto"/>
              <w:jc w:val="left"/>
              <w:rPr>
                <w:rFonts w:eastAsia="Times New Roman" w:cs="Open Sans"/>
                <w:b/>
                <w:sz w:val="20"/>
                <w:szCs w:val="20"/>
                <w:lang w:val="en-US" w:eastAsia="ko-KR"/>
              </w:rPr>
            </w:pPr>
            <w:r w:rsidRPr="002306A8">
              <w:rPr>
                <w:rFonts w:eastAsia="Malgun Gothic" w:cs="Open Sans" w:hint="eastAsia"/>
                <w:b/>
                <w:sz w:val="20"/>
                <w:szCs w:val="20"/>
                <w:lang w:val="en-US" w:eastAsia="ko-KR"/>
              </w:rPr>
              <w:t>Rwanda</w:t>
            </w:r>
          </w:p>
        </w:tc>
        <w:tc>
          <w:tcPr>
            <w:tcW w:w="1037" w:type="dxa"/>
            <w:shd w:val="clear" w:color="auto" w:fill="F2F2F2" w:themeFill="background1" w:themeFillShade="F2"/>
            <w:vAlign w:val="center"/>
          </w:tcPr>
          <w:p w14:paraId="79B86E8B"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UNDP</w:t>
            </w:r>
          </w:p>
        </w:tc>
        <w:tc>
          <w:tcPr>
            <w:tcW w:w="1720" w:type="dxa"/>
            <w:shd w:val="clear" w:color="auto" w:fill="F7CE67"/>
            <w:vAlign w:val="center"/>
          </w:tcPr>
          <w:p w14:paraId="3375B545"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44" w:type="dxa"/>
            <w:shd w:val="clear" w:color="auto" w:fill="F7CE67"/>
            <w:noWrap/>
            <w:vAlign w:val="center"/>
          </w:tcPr>
          <w:p w14:paraId="45B7EBC3" w14:textId="62177F69" w:rsidR="00690701" w:rsidRPr="00B22932" w:rsidRDefault="16914593">
            <w:pPr>
              <w:spacing w:before="60" w:after="60" w:line="240" w:lineRule="auto"/>
              <w:jc w:val="center"/>
              <w:rPr>
                <w:rFonts w:eastAsia="Times New Roman" w:cs="Open Sans"/>
                <w:sz w:val="16"/>
                <w:szCs w:val="16"/>
                <w:lang w:val="en-US" w:eastAsia="ko-KR"/>
              </w:rPr>
            </w:pPr>
            <w:r w:rsidRPr="0C313153">
              <w:rPr>
                <w:rFonts w:eastAsia="Times New Roman" w:cs="Open Sans"/>
                <w:sz w:val="16"/>
                <w:szCs w:val="16"/>
                <w:lang w:val="en-US" w:eastAsia="ko-KR"/>
              </w:rPr>
              <w:t>On-track</w:t>
            </w:r>
          </w:p>
        </w:tc>
        <w:tc>
          <w:tcPr>
            <w:tcW w:w="1501" w:type="dxa"/>
            <w:shd w:val="clear" w:color="auto" w:fill="418FDE"/>
            <w:vAlign w:val="center"/>
          </w:tcPr>
          <w:p w14:paraId="3BDC6D8F"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C3C3C3" w:themeFill="background2" w:themeFillShade="E6"/>
            <w:noWrap/>
            <w:vAlign w:val="center"/>
          </w:tcPr>
          <w:p w14:paraId="1263D900"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60C90A52">
              <w:rPr>
                <w:rFonts w:eastAsia="Times New Roman" w:cs="Open Sans"/>
                <w:color w:val="000000" w:themeColor="text1"/>
                <w:sz w:val="16"/>
                <w:szCs w:val="16"/>
                <w:lang w:val="en-US" w:eastAsia="ko-KR"/>
              </w:rPr>
              <w:t>N/A</w:t>
            </w:r>
          </w:p>
        </w:tc>
        <w:tc>
          <w:tcPr>
            <w:tcW w:w="1440" w:type="dxa"/>
            <w:shd w:val="clear" w:color="auto" w:fill="009999"/>
            <w:noWrap/>
            <w:vAlign w:val="center"/>
          </w:tcPr>
          <w:p w14:paraId="1B888482" w14:textId="09D88B02" w:rsidR="00690701" w:rsidRPr="00297FF5" w:rsidRDefault="0BB26D3F">
            <w:pPr>
              <w:spacing w:before="60" w:after="60" w:line="240" w:lineRule="auto"/>
              <w:jc w:val="center"/>
              <w:rPr>
                <w:rFonts w:eastAsia="Times New Roman" w:cs="Open Sans"/>
                <w:color w:val="FFFFFF" w:themeColor="background1"/>
                <w:sz w:val="16"/>
                <w:szCs w:val="16"/>
                <w:lang w:val="en-US" w:eastAsia="ko-KR"/>
              </w:rPr>
            </w:pPr>
            <w:r w:rsidRPr="0C313153">
              <w:rPr>
                <w:rFonts w:eastAsia="Times New Roman" w:cs="Open Sans"/>
                <w:color w:val="FFFFFF" w:themeColor="background1"/>
                <w:sz w:val="16"/>
                <w:szCs w:val="16"/>
                <w:lang w:val="en-US" w:eastAsia="ko-KR"/>
              </w:rPr>
              <w:t>Achieved</w:t>
            </w:r>
          </w:p>
        </w:tc>
        <w:tc>
          <w:tcPr>
            <w:tcW w:w="1530" w:type="dxa"/>
            <w:shd w:val="clear" w:color="auto" w:fill="F7CE67"/>
            <w:noWrap/>
            <w:vAlign w:val="center"/>
          </w:tcPr>
          <w:p w14:paraId="5F5028D8"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20" w:type="dxa"/>
            <w:shd w:val="clear" w:color="auto" w:fill="C3C3C3" w:themeFill="background2" w:themeFillShade="E6"/>
            <w:noWrap/>
            <w:vAlign w:val="center"/>
          </w:tcPr>
          <w:p w14:paraId="213BDA76"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60C90A52">
              <w:rPr>
                <w:rFonts w:eastAsia="Times New Roman" w:cs="Open Sans"/>
                <w:color w:val="000000" w:themeColor="text1"/>
                <w:sz w:val="16"/>
                <w:szCs w:val="16"/>
                <w:lang w:val="en-US" w:eastAsia="ko-KR"/>
              </w:rPr>
              <w:t>N/A</w:t>
            </w:r>
          </w:p>
        </w:tc>
        <w:tc>
          <w:tcPr>
            <w:tcW w:w="1710" w:type="dxa"/>
            <w:shd w:val="clear" w:color="auto" w:fill="418FDE"/>
            <w:noWrap/>
            <w:vAlign w:val="center"/>
          </w:tcPr>
          <w:p w14:paraId="10389B3D"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vAlign w:val="center"/>
          </w:tcPr>
          <w:p w14:paraId="66A839BE"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6DEEB9DE" w14:textId="77777777" w:rsidTr="0C313153">
        <w:trPr>
          <w:trHeight w:val="83"/>
        </w:trPr>
        <w:tc>
          <w:tcPr>
            <w:tcW w:w="1653" w:type="dxa"/>
            <w:shd w:val="clear" w:color="auto" w:fill="F2F2F2" w:themeFill="background1" w:themeFillShade="F2"/>
            <w:noWrap/>
          </w:tcPr>
          <w:p w14:paraId="6F21B3F9" w14:textId="77777777" w:rsidR="00690701" w:rsidRPr="002306A8" w:rsidRDefault="00690701">
            <w:pPr>
              <w:spacing w:before="60" w:after="60" w:line="240" w:lineRule="auto"/>
              <w:jc w:val="left"/>
              <w:rPr>
                <w:rFonts w:eastAsia="Malgun Gothic" w:cs="Open Sans"/>
                <w:b/>
                <w:sz w:val="20"/>
                <w:szCs w:val="20"/>
                <w:lang w:val="en-US" w:eastAsia="ko-KR"/>
              </w:rPr>
            </w:pPr>
            <w:r w:rsidRPr="002306A8">
              <w:rPr>
                <w:rFonts w:eastAsia="Malgun Gothic" w:cs="Open Sans" w:hint="eastAsia"/>
                <w:b/>
                <w:sz w:val="20"/>
                <w:szCs w:val="20"/>
                <w:lang w:val="en-US" w:eastAsia="ko-KR"/>
              </w:rPr>
              <w:t>Solomon Islands</w:t>
            </w:r>
          </w:p>
        </w:tc>
        <w:tc>
          <w:tcPr>
            <w:tcW w:w="1037" w:type="dxa"/>
            <w:shd w:val="clear" w:color="auto" w:fill="F2F2F2" w:themeFill="background1" w:themeFillShade="F2"/>
            <w:vAlign w:val="center"/>
          </w:tcPr>
          <w:p w14:paraId="7B02387C"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UNDP</w:t>
            </w:r>
          </w:p>
        </w:tc>
        <w:tc>
          <w:tcPr>
            <w:tcW w:w="1720" w:type="dxa"/>
            <w:shd w:val="clear" w:color="auto" w:fill="F7CE67"/>
            <w:vAlign w:val="center"/>
          </w:tcPr>
          <w:p w14:paraId="1F3DF5F1" w14:textId="77777777" w:rsidR="00690701" w:rsidRPr="00D7427D"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4750EBBE">
              <w:rPr>
                <w:rFonts w:eastAsia="Times New Roman" w:cs="Open Sans"/>
                <w:sz w:val="16"/>
                <w:szCs w:val="16"/>
                <w:lang w:val="en-US" w:eastAsia="ko-KR"/>
              </w:rPr>
              <w:t xml:space="preserve">On-track </w:t>
            </w:r>
          </w:p>
        </w:tc>
        <w:tc>
          <w:tcPr>
            <w:tcW w:w="1644" w:type="dxa"/>
            <w:shd w:val="clear" w:color="auto" w:fill="F7CE67"/>
            <w:noWrap/>
            <w:vAlign w:val="center"/>
          </w:tcPr>
          <w:p w14:paraId="2710F2FF"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4750EBBE">
              <w:rPr>
                <w:rFonts w:eastAsia="Times New Roman" w:cs="Open Sans"/>
                <w:sz w:val="16"/>
                <w:szCs w:val="16"/>
                <w:lang w:val="en-US" w:eastAsia="ko-KR"/>
              </w:rPr>
              <w:t xml:space="preserve">On-track </w:t>
            </w:r>
          </w:p>
        </w:tc>
        <w:tc>
          <w:tcPr>
            <w:tcW w:w="1501" w:type="dxa"/>
            <w:shd w:val="clear" w:color="auto" w:fill="F7CE67"/>
            <w:vAlign w:val="center"/>
          </w:tcPr>
          <w:p w14:paraId="5046EF50"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4750EBBE">
              <w:rPr>
                <w:rFonts w:eastAsia="Times New Roman" w:cs="Open Sans"/>
                <w:sz w:val="16"/>
                <w:szCs w:val="16"/>
                <w:lang w:val="en-US" w:eastAsia="ko-KR"/>
              </w:rPr>
              <w:t xml:space="preserve">On-track </w:t>
            </w:r>
          </w:p>
        </w:tc>
        <w:tc>
          <w:tcPr>
            <w:tcW w:w="1620" w:type="dxa"/>
            <w:shd w:val="clear" w:color="auto" w:fill="C3C3C3" w:themeFill="background2" w:themeFillShade="E6"/>
            <w:noWrap/>
            <w:vAlign w:val="center"/>
          </w:tcPr>
          <w:p w14:paraId="4C579F43" w14:textId="6B378491" w:rsidR="00690701" w:rsidRPr="00B22932" w:rsidRDefault="2FA78A56">
            <w:pPr>
              <w:spacing w:before="60" w:after="60" w:line="240" w:lineRule="auto"/>
              <w:jc w:val="center"/>
              <w:rPr>
                <w:rFonts w:eastAsia="Times New Roman" w:cs="Open Sans"/>
                <w:sz w:val="16"/>
                <w:szCs w:val="16"/>
                <w:lang w:val="en-US" w:eastAsia="ko-KR"/>
              </w:rPr>
            </w:pPr>
            <w:r w:rsidRPr="0C313153">
              <w:rPr>
                <w:rFonts w:eastAsia="Times New Roman" w:cs="Open Sans"/>
                <w:sz w:val="16"/>
                <w:szCs w:val="16"/>
                <w:lang w:val="en-US" w:eastAsia="ko-KR"/>
              </w:rPr>
              <w:t>N/A</w:t>
            </w:r>
          </w:p>
        </w:tc>
        <w:tc>
          <w:tcPr>
            <w:tcW w:w="1440" w:type="dxa"/>
            <w:shd w:val="clear" w:color="auto" w:fill="F7CE67"/>
            <w:noWrap/>
            <w:vAlign w:val="center"/>
          </w:tcPr>
          <w:p w14:paraId="5885A6F4" w14:textId="57AE3A8B" w:rsidR="00690701" w:rsidRPr="00B22932" w:rsidRDefault="79FBD832">
            <w:pPr>
              <w:spacing w:before="60" w:after="60" w:line="240" w:lineRule="auto"/>
              <w:jc w:val="center"/>
              <w:rPr>
                <w:rFonts w:eastAsia="Times New Roman" w:cs="Open Sans"/>
                <w:color w:val="FFFFFF" w:themeColor="background1"/>
                <w:kern w:val="0"/>
                <w:sz w:val="16"/>
                <w:szCs w:val="16"/>
                <w:lang w:val="en-US" w:eastAsia="ko-KR"/>
                <w14:ligatures w14:val="none"/>
              </w:rPr>
            </w:pPr>
            <w:r w:rsidRPr="0C313153">
              <w:rPr>
                <w:rFonts w:eastAsia="Times New Roman" w:cs="Open Sans"/>
                <w:sz w:val="16"/>
                <w:szCs w:val="16"/>
                <w:lang w:val="en-US" w:eastAsia="ko-KR"/>
              </w:rPr>
              <w:t>On-track</w:t>
            </w:r>
            <w:r w:rsidR="00690701" w:rsidRPr="0C313153">
              <w:rPr>
                <w:rFonts w:eastAsia="Times New Roman" w:cs="Open Sans"/>
                <w:sz w:val="16"/>
                <w:szCs w:val="16"/>
                <w:lang w:val="en-US" w:eastAsia="ko-KR"/>
              </w:rPr>
              <w:t xml:space="preserve"> </w:t>
            </w:r>
          </w:p>
        </w:tc>
        <w:tc>
          <w:tcPr>
            <w:tcW w:w="1530" w:type="dxa"/>
            <w:shd w:val="clear" w:color="auto" w:fill="F7CE67"/>
            <w:noWrap/>
            <w:vAlign w:val="center"/>
          </w:tcPr>
          <w:p w14:paraId="1A62C1C6" w14:textId="60CF0227" w:rsidR="00690701" w:rsidRPr="00B22932" w:rsidRDefault="6DC1A09E">
            <w:pPr>
              <w:spacing w:before="60" w:after="60" w:line="240" w:lineRule="auto"/>
              <w:jc w:val="center"/>
              <w:rPr>
                <w:rFonts w:eastAsia="Times New Roman" w:cs="Open Sans"/>
                <w:color w:val="FFFFFF" w:themeColor="background1"/>
                <w:kern w:val="0"/>
                <w:sz w:val="16"/>
                <w:szCs w:val="16"/>
                <w:lang w:val="en-US" w:eastAsia="ko-KR"/>
                <w14:ligatures w14:val="none"/>
              </w:rPr>
            </w:pPr>
            <w:r w:rsidRPr="0C313153">
              <w:rPr>
                <w:rFonts w:eastAsia="Times New Roman" w:cs="Open Sans"/>
                <w:sz w:val="16"/>
                <w:szCs w:val="16"/>
                <w:lang w:val="en-US" w:eastAsia="ko-KR"/>
              </w:rPr>
              <w:t>On-track</w:t>
            </w:r>
            <w:r w:rsidR="00690701" w:rsidRPr="0C313153">
              <w:rPr>
                <w:rFonts w:eastAsia="Times New Roman" w:cs="Open Sans"/>
                <w:sz w:val="16"/>
                <w:szCs w:val="16"/>
                <w:lang w:val="en-US" w:eastAsia="ko-KR"/>
              </w:rPr>
              <w:t xml:space="preserve"> </w:t>
            </w:r>
          </w:p>
        </w:tc>
        <w:tc>
          <w:tcPr>
            <w:tcW w:w="1620" w:type="dxa"/>
            <w:shd w:val="clear" w:color="auto" w:fill="C3C3C3" w:themeFill="background2" w:themeFillShade="E6"/>
            <w:noWrap/>
            <w:vAlign w:val="center"/>
          </w:tcPr>
          <w:p w14:paraId="59B08851" w14:textId="3AC553B4" w:rsidR="00690701" w:rsidRPr="00B22932" w:rsidRDefault="06F0E8F9">
            <w:pPr>
              <w:spacing w:before="60" w:after="60" w:line="240" w:lineRule="auto"/>
              <w:jc w:val="center"/>
              <w:rPr>
                <w:rFonts w:eastAsia="Times New Roman" w:cs="Open Sans"/>
                <w:sz w:val="16"/>
                <w:szCs w:val="16"/>
                <w:lang w:val="en-US" w:eastAsia="ko-KR"/>
              </w:rPr>
            </w:pPr>
            <w:r w:rsidRPr="0C313153">
              <w:rPr>
                <w:rFonts w:eastAsia="Times New Roman" w:cs="Open Sans"/>
                <w:sz w:val="16"/>
                <w:szCs w:val="16"/>
                <w:lang w:val="en-US" w:eastAsia="ko-KR"/>
              </w:rPr>
              <w:t>N/A</w:t>
            </w:r>
          </w:p>
        </w:tc>
        <w:tc>
          <w:tcPr>
            <w:tcW w:w="1710" w:type="dxa"/>
            <w:shd w:val="clear" w:color="auto" w:fill="F7CE67"/>
            <w:noWrap/>
            <w:vAlign w:val="center"/>
          </w:tcPr>
          <w:p w14:paraId="646A7EE3" w14:textId="1E8FD89B" w:rsidR="00690701" w:rsidRPr="00B22932" w:rsidRDefault="77C83916">
            <w:pPr>
              <w:spacing w:before="60" w:after="60" w:line="240" w:lineRule="auto"/>
              <w:jc w:val="center"/>
              <w:rPr>
                <w:rFonts w:eastAsia="Times New Roman" w:cs="Open Sans"/>
                <w:sz w:val="16"/>
                <w:szCs w:val="16"/>
                <w:lang w:val="en-US" w:eastAsia="ko-KR"/>
              </w:rPr>
            </w:pPr>
            <w:r w:rsidRPr="0C313153">
              <w:rPr>
                <w:rFonts w:eastAsia="Times New Roman" w:cs="Open Sans"/>
                <w:sz w:val="16"/>
                <w:szCs w:val="16"/>
                <w:lang w:val="en-US" w:eastAsia="ko-KR"/>
              </w:rPr>
              <w:t>On-track</w:t>
            </w:r>
          </w:p>
        </w:tc>
        <w:tc>
          <w:tcPr>
            <w:tcW w:w="1800" w:type="dxa"/>
            <w:shd w:val="clear" w:color="auto" w:fill="F7CE67"/>
            <w:vAlign w:val="center"/>
          </w:tcPr>
          <w:p w14:paraId="6492C725" w14:textId="61F3EEF1" w:rsidR="00690701" w:rsidRPr="00B22932" w:rsidRDefault="77C83916">
            <w:pPr>
              <w:spacing w:before="60" w:after="60" w:line="240" w:lineRule="auto"/>
              <w:jc w:val="center"/>
              <w:rPr>
                <w:rFonts w:eastAsia="Times New Roman" w:cs="Open Sans"/>
                <w:sz w:val="16"/>
                <w:szCs w:val="16"/>
                <w:lang w:val="en-US" w:eastAsia="ko-KR"/>
              </w:rPr>
            </w:pPr>
            <w:r w:rsidRPr="0C313153">
              <w:rPr>
                <w:rFonts w:eastAsia="Times New Roman" w:cs="Open Sans"/>
                <w:sz w:val="16"/>
                <w:szCs w:val="16"/>
                <w:lang w:val="en-US" w:eastAsia="ko-KR"/>
              </w:rPr>
              <w:t>On-track</w:t>
            </w:r>
          </w:p>
        </w:tc>
      </w:tr>
      <w:tr w:rsidR="00690701" w14:paraId="780599A5" w14:textId="77777777">
        <w:trPr>
          <w:trHeight w:val="397"/>
        </w:trPr>
        <w:tc>
          <w:tcPr>
            <w:tcW w:w="1653" w:type="dxa"/>
            <w:shd w:val="clear" w:color="auto" w:fill="F2F2F2" w:themeFill="background1" w:themeFillShade="F2"/>
            <w:noWrap/>
          </w:tcPr>
          <w:p w14:paraId="2ECA3CA9" w14:textId="77777777" w:rsidR="00690701" w:rsidRDefault="00690701">
            <w:pPr>
              <w:spacing w:line="240" w:lineRule="auto"/>
              <w:jc w:val="left"/>
              <w:rPr>
                <w:rFonts w:eastAsia="Open Sans" w:cs="Open Sans"/>
                <w:b/>
                <w:bCs/>
                <w:sz w:val="20"/>
                <w:szCs w:val="20"/>
                <w:lang w:val="en-US"/>
              </w:rPr>
            </w:pPr>
            <w:r w:rsidRPr="4750EBBE">
              <w:rPr>
                <w:rFonts w:eastAsia="Open Sans" w:cs="Open Sans"/>
                <w:b/>
                <w:bCs/>
                <w:color w:val="000000" w:themeColor="text1"/>
                <w:sz w:val="20"/>
                <w:szCs w:val="20"/>
                <w:lang w:val="en-US"/>
              </w:rPr>
              <w:t>Timor-Leste</w:t>
            </w:r>
          </w:p>
        </w:tc>
        <w:tc>
          <w:tcPr>
            <w:tcW w:w="1037" w:type="dxa"/>
            <w:shd w:val="clear" w:color="auto" w:fill="F2F2F2" w:themeFill="background1" w:themeFillShade="F2"/>
            <w:vAlign w:val="center"/>
          </w:tcPr>
          <w:p w14:paraId="1F85E348" w14:textId="77777777" w:rsidR="00690701" w:rsidRDefault="00690701">
            <w:pPr>
              <w:spacing w:line="240" w:lineRule="auto"/>
              <w:jc w:val="left"/>
              <w:rPr>
                <w:sz w:val="20"/>
                <w:szCs w:val="20"/>
              </w:rPr>
            </w:pPr>
            <w:r w:rsidRPr="4750EBBE">
              <w:rPr>
                <w:sz w:val="20"/>
                <w:szCs w:val="20"/>
              </w:rPr>
              <w:t>UNEP</w:t>
            </w:r>
          </w:p>
        </w:tc>
        <w:tc>
          <w:tcPr>
            <w:tcW w:w="1720" w:type="dxa"/>
            <w:shd w:val="clear" w:color="auto" w:fill="418FDE"/>
            <w:vAlign w:val="center"/>
          </w:tcPr>
          <w:p w14:paraId="6E6D0A5C"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644" w:type="dxa"/>
            <w:shd w:val="clear" w:color="auto" w:fill="418FDE"/>
            <w:noWrap/>
            <w:vAlign w:val="center"/>
          </w:tcPr>
          <w:p w14:paraId="68335704"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501" w:type="dxa"/>
            <w:shd w:val="clear" w:color="auto" w:fill="418FDE"/>
            <w:vAlign w:val="center"/>
          </w:tcPr>
          <w:p w14:paraId="149E2E5D"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620" w:type="dxa"/>
            <w:shd w:val="clear" w:color="auto" w:fill="418FDE"/>
            <w:noWrap/>
            <w:vAlign w:val="center"/>
          </w:tcPr>
          <w:p w14:paraId="13656D92"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440" w:type="dxa"/>
            <w:shd w:val="clear" w:color="auto" w:fill="418FDE"/>
            <w:noWrap/>
            <w:vAlign w:val="center"/>
          </w:tcPr>
          <w:p w14:paraId="35292DF7"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530" w:type="dxa"/>
            <w:shd w:val="clear" w:color="auto" w:fill="418FDE"/>
            <w:noWrap/>
            <w:vAlign w:val="center"/>
          </w:tcPr>
          <w:p w14:paraId="07D531DA"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620" w:type="dxa"/>
            <w:shd w:val="clear" w:color="auto" w:fill="418FDE"/>
            <w:noWrap/>
            <w:vAlign w:val="center"/>
          </w:tcPr>
          <w:p w14:paraId="18E638DC"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710" w:type="dxa"/>
            <w:shd w:val="clear" w:color="auto" w:fill="418FDE"/>
            <w:noWrap/>
            <w:vAlign w:val="center"/>
          </w:tcPr>
          <w:p w14:paraId="53202065"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c>
          <w:tcPr>
            <w:tcW w:w="1800" w:type="dxa"/>
            <w:shd w:val="clear" w:color="auto" w:fill="418FDE"/>
            <w:vAlign w:val="center"/>
          </w:tcPr>
          <w:p w14:paraId="12879FAE" w14:textId="77777777" w:rsidR="00690701" w:rsidRDefault="00690701">
            <w:pPr>
              <w:spacing w:line="240" w:lineRule="auto"/>
              <w:jc w:val="center"/>
              <w:rPr>
                <w:rFonts w:eastAsia="Times New Roman" w:cs="Open Sans"/>
                <w:color w:val="FFFFFF" w:themeColor="background1"/>
                <w:sz w:val="16"/>
                <w:szCs w:val="16"/>
                <w:lang w:val="en-US" w:eastAsia="ko-KR"/>
              </w:rPr>
            </w:pPr>
            <w:r w:rsidRPr="4750EBBE">
              <w:rPr>
                <w:rFonts w:eastAsia="Times New Roman" w:cs="Open Sans"/>
                <w:color w:val="FFFFFF" w:themeColor="background1"/>
                <w:sz w:val="16"/>
                <w:szCs w:val="16"/>
                <w:lang w:val="en-US" w:eastAsia="ko-KR"/>
              </w:rPr>
              <w:t>Not yet started</w:t>
            </w:r>
          </w:p>
        </w:tc>
      </w:tr>
      <w:tr w:rsidR="00690701" w:rsidRPr="008D26AB" w14:paraId="1A70979A" w14:textId="77777777">
        <w:trPr>
          <w:trHeight w:val="83"/>
        </w:trPr>
        <w:tc>
          <w:tcPr>
            <w:tcW w:w="1653" w:type="dxa"/>
            <w:shd w:val="clear" w:color="auto" w:fill="F2F2F2" w:themeFill="background1" w:themeFillShade="F2"/>
            <w:noWrap/>
          </w:tcPr>
          <w:p w14:paraId="09E43B11" w14:textId="77777777" w:rsidR="00690701" w:rsidRPr="002306A8" w:rsidRDefault="00690701">
            <w:pPr>
              <w:spacing w:before="60" w:after="60" w:line="240" w:lineRule="auto"/>
              <w:jc w:val="left"/>
              <w:rPr>
                <w:rFonts w:eastAsia="Malgun Gothic" w:cs="Open Sans"/>
                <w:b/>
                <w:sz w:val="20"/>
                <w:szCs w:val="20"/>
                <w:lang w:val="en-US" w:eastAsia="ko-KR"/>
              </w:rPr>
            </w:pPr>
            <w:r w:rsidRPr="002306A8">
              <w:rPr>
                <w:rFonts w:eastAsia="Malgun Gothic" w:cs="Open Sans" w:hint="eastAsia"/>
                <w:b/>
                <w:sz w:val="20"/>
                <w:szCs w:val="20"/>
                <w:lang w:val="en-US" w:eastAsia="ko-KR"/>
              </w:rPr>
              <w:lastRenderedPageBreak/>
              <w:t>United Republic of Tanzania</w:t>
            </w:r>
          </w:p>
        </w:tc>
        <w:tc>
          <w:tcPr>
            <w:tcW w:w="1037" w:type="dxa"/>
            <w:shd w:val="clear" w:color="auto" w:fill="F2F2F2" w:themeFill="background1" w:themeFillShade="F2"/>
            <w:vAlign w:val="center"/>
          </w:tcPr>
          <w:p w14:paraId="13BAB2DA"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UNDP</w:t>
            </w:r>
          </w:p>
        </w:tc>
        <w:tc>
          <w:tcPr>
            <w:tcW w:w="1720" w:type="dxa"/>
            <w:shd w:val="clear" w:color="auto" w:fill="418FDE"/>
            <w:vAlign w:val="center"/>
          </w:tcPr>
          <w:p w14:paraId="7C6C0718"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44" w:type="dxa"/>
            <w:shd w:val="clear" w:color="auto" w:fill="418FDE"/>
            <w:noWrap/>
            <w:vAlign w:val="center"/>
          </w:tcPr>
          <w:p w14:paraId="575922DF"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501" w:type="dxa"/>
            <w:shd w:val="clear" w:color="auto" w:fill="418FDE"/>
            <w:vAlign w:val="center"/>
          </w:tcPr>
          <w:p w14:paraId="119BA84B"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F7CE67"/>
            <w:noWrap/>
            <w:vAlign w:val="center"/>
          </w:tcPr>
          <w:p w14:paraId="1B941293"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440" w:type="dxa"/>
            <w:shd w:val="clear" w:color="auto" w:fill="F7CE67"/>
            <w:noWrap/>
            <w:vAlign w:val="center"/>
          </w:tcPr>
          <w:p w14:paraId="1A995644"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530" w:type="dxa"/>
            <w:shd w:val="clear" w:color="auto" w:fill="F7CE67"/>
            <w:noWrap/>
            <w:vAlign w:val="center"/>
          </w:tcPr>
          <w:p w14:paraId="078F1F69"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620" w:type="dxa"/>
            <w:shd w:val="clear" w:color="auto" w:fill="F7CE67"/>
            <w:noWrap/>
            <w:vAlign w:val="center"/>
          </w:tcPr>
          <w:p w14:paraId="18B4B52C" w14:textId="77777777" w:rsidR="00690701" w:rsidRPr="00297FF5" w:rsidRDefault="00690701">
            <w:pPr>
              <w:spacing w:before="60" w:after="60" w:line="240" w:lineRule="auto"/>
              <w:jc w:val="center"/>
              <w:rPr>
                <w:rFonts w:eastAsia="Times New Roman" w:cs="Open Sans"/>
                <w:color w:val="000000"/>
                <w:kern w:val="0"/>
                <w:sz w:val="16"/>
                <w:szCs w:val="16"/>
                <w:lang w:val="en-US" w:eastAsia="ko-KR"/>
                <w14:ligatures w14:val="none"/>
              </w:rPr>
            </w:pPr>
            <w:r w:rsidRPr="00297FF5">
              <w:rPr>
                <w:rFonts w:eastAsia="Times New Roman" w:cs="Open Sans"/>
                <w:color w:val="000000"/>
                <w:kern w:val="0"/>
                <w:sz w:val="16"/>
                <w:szCs w:val="16"/>
                <w:lang w:val="en-US" w:eastAsia="ko-KR"/>
                <w14:ligatures w14:val="none"/>
              </w:rPr>
              <w:t>On-track</w:t>
            </w:r>
          </w:p>
        </w:tc>
        <w:tc>
          <w:tcPr>
            <w:tcW w:w="1710" w:type="dxa"/>
            <w:shd w:val="clear" w:color="auto" w:fill="418FDE"/>
            <w:noWrap/>
            <w:vAlign w:val="center"/>
          </w:tcPr>
          <w:p w14:paraId="67970B09"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vAlign w:val="center"/>
          </w:tcPr>
          <w:p w14:paraId="288F3EFF" w14:textId="77777777" w:rsidR="00690701" w:rsidRPr="00B22932" w:rsidRDefault="00690701">
            <w:pPr>
              <w:spacing w:before="60" w:after="60" w:line="240" w:lineRule="auto"/>
              <w:jc w:val="center"/>
              <w:rPr>
                <w:rFonts w:eastAsia="Times New Roman" w:cs="Open Sans"/>
                <w:color w:val="FFFFFF" w:themeColor="background1"/>
                <w:kern w:val="0"/>
                <w:sz w:val="16"/>
                <w:szCs w:val="16"/>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r w:rsidR="00690701" w:rsidRPr="008D26AB" w14:paraId="12B0EA91" w14:textId="77777777">
        <w:trPr>
          <w:trHeight w:val="83"/>
        </w:trPr>
        <w:tc>
          <w:tcPr>
            <w:tcW w:w="1653" w:type="dxa"/>
            <w:shd w:val="clear" w:color="auto" w:fill="F2F2F2" w:themeFill="background1" w:themeFillShade="F2"/>
            <w:noWrap/>
          </w:tcPr>
          <w:p w14:paraId="6C74B60D" w14:textId="77777777" w:rsidR="00690701" w:rsidRPr="002306A8" w:rsidRDefault="00690701">
            <w:pPr>
              <w:spacing w:before="60" w:after="60" w:line="240" w:lineRule="auto"/>
              <w:jc w:val="left"/>
              <w:rPr>
                <w:rFonts w:eastAsia="Malgun Gothic" w:cs="Open Sans"/>
                <w:b/>
                <w:sz w:val="20"/>
                <w:szCs w:val="20"/>
                <w:lang w:val="en-US" w:eastAsia="ko-KR"/>
              </w:rPr>
            </w:pPr>
            <w:r w:rsidRPr="002306A8">
              <w:rPr>
                <w:rFonts w:eastAsia="Malgun Gothic" w:cs="Open Sans" w:hint="eastAsia"/>
                <w:b/>
                <w:sz w:val="20"/>
                <w:szCs w:val="20"/>
                <w:lang w:val="en-US" w:eastAsia="ko-KR"/>
              </w:rPr>
              <w:t>Uganda</w:t>
            </w:r>
          </w:p>
        </w:tc>
        <w:tc>
          <w:tcPr>
            <w:tcW w:w="1037" w:type="dxa"/>
            <w:shd w:val="clear" w:color="auto" w:fill="F2F2F2" w:themeFill="background1" w:themeFillShade="F2"/>
            <w:vAlign w:val="center"/>
          </w:tcPr>
          <w:p w14:paraId="5478F906" w14:textId="77777777" w:rsidR="00690701" w:rsidRPr="00D15E58" w:rsidRDefault="00690701">
            <w:pPr>
              <w:spacing w:before="60" w:after="60" w:line="240" w:lineRule="auto"/>
              <w:jc w:val="left"/>
              <w:rPr>
                <w:rFonts w:eastAsia="Times New Roman" w:cs="Open Sans"/>
                <w:color w:val="000000"/>
                <w:kern w:val="0"/>
                <w:sz w:val="20"/>
                <w:szCs w:val="20"/>
                <w:lang w:val="en-US" w:eastAsia="ko-KR"/>
                <w14:ligatures w14:val="none"/>
              </w:rPr>
            </w:pPr>
            <w:r w:rsidRPr="00D15E58">
              <w:rPr>
                <w:sz w:val="20"/>
                <w:szCs w:val="20"/>
              </w:rPr>
              <w:t>IsDB</w:t>
            </w:r>
          </w:p>
        </w:tc>
        <w:tc>
          <w:tcPr>
            <w:tcW w:w="1720" w:type="dxa"/>
            <w:shd w:val="clear" w:color="auto" w:fill="418FDE"/>
            <w:vAlign w:val="center"/>
          </w:tcPr>
          <w:p w14:paraId="3FF62F06"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44" w:type="dxa"/>
            <w:shd w:val="clear" w:color="auto" w:fill="418FDE"/>
            <w:noWrap/>
            <w:vAlign w:val="center"/>
          </w:tcPr>
          <w:p w14:paraId="6276DCD5"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501" w:type="dxa"/>
            <w:shd w:val="clear" w:color="auto" w:fill="418FDE"/>
            <w:vAlign w:val="center"/>
          </w:tcPr>
          <w:p w14:paraId="0502C78D"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418FDE"/>
            <w:noWrap/>
            <w:vAlign w:val="center"/>
          </w:tcPr>
          <w:p w14:paraId="56AE1C7A"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440" w:type="dxa"/>
            <w:shd w:val="clear" w:color="auto" w:fill="418FDE"/>
            <w:noWrap/>
            <w:vAlign w:val="center"/>
          </w:tcPr>
          <w:p w14:paraId="70874D42"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530" w:type="dxa"/>
            <w:shd w:val="clear" w:color="auto" w:fill="418FDE"/>
            <w:noWrap/>
            <w:vAlign w:val="center"/>
          </w:tcPr>
          <w:p w14:paraId="11ABCE1F"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620" w:type="dxa"/>
            <w:shd w:val="clear" w:color="auto" w:fill="418FDE"/>
            <w:noWrap/>
            <w:vAlign w:val="center"/>
          </w:tcPr>
          <w:p w14:paraId="070F3988"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710" w:type="dxa"/>
            <w:shd w:val="clear" w:color="auto" w:fill="418FDE"/>
            <w:noWrap/>
            <w:vAlign w:val="center"/>
          </w:tcPr>
          <w:p w14:paraId="6E1EC7B5"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c>
          <w:tcPr>
            <w:tcW w:w="1800" w:type="dxa"/>
            <w:shd w:val="clear" w:color="auto" w:fill="418FDE"/>
            <w:vAlign w:val="center"/>
          </w:tcPr>
          <w:p w14:paraId="2DE05886" w14:textId="77777777" w:rsidR="00690701" w:rsidRPr="00B22932" w:rsidRDefault="00690701">
            <w:pPr>
              <w:spacing w:before="60" w:after="60" w:line="240" w:lineRule="auto"/>
              <w:jc w:val="center"/>
              <w:rPr>
                <w:rFonts w:eastAsia="Times New Roman" w:cs="Open Sans"/>
                <w:color w:val="FFFFFF" w:themeColor="background1"/>
                <w:kern w:val="0"/>
                <w:sz w:val="20"/>
                <w:szCs w:val="20"/>
                <w:lang w:val="en-US" w:eastAsia="ko-KR"/>
                <w14:ligatures w14:val="none"/>
              </w:rPr>
            </w:pPr>
            <w:r w:rsidRPr="00B22932">
              <w:rPr>
                <w:rFonts w:eastAsia="Times New Roman" w:cs="Open Sans"/>
                <w:color w:val="FFFFFF" w:themeColor="background1"/>
                <w:kern w:val="0"/>
                <w:sz w:val="16"/>
                <w:szCs w:val="16"/>
                <w:lang w:val="en-US" w:eastAsia="ko-KR"/>
                <w14:ligatures w14:val="none"/>
              </w:rPr>
              <w:t>Not yet started</w:t>
            </w:r>
          </w:p>
        </w:tc>
      </w:tr>
    </w:tbl>
    <w:tbl>
      <w:tblPr>
        <w:tblStyle w:val="TableGrid"/>
        <w:tblpPr w:leftFromText="180" w:rightFromText="180" w:vertAnchor="text" w:horzAnchor="margin" w:tblpY="403"/>
        <w:tblW w:w="0" w:type="auto"/>
        <w:tblLook w:val="04A0" w:firstRow="1" w:lastRow="0" w:firstColumn="1" w:lastColumn="0" w:noHBand="0" w:noVBand="1"/>
      </w:tblPr>
      <w:tblGrid>
        <w:gridCol w:w="1696"/>
        <w:gridCol w:w="5812"/>
      </w:tblGrid>
      <w:tr w:rsidR="00690701" w:rsidRPr="00755304" w14:paraId="55718F25" w14:textId="77777777">
        <w:tc>
          <w:tcPr>
            <w:tcW w:w="1696" w:type="dxa"/>
            <w:shd w:val="clear" w:color="auto" w:fill="009999"/>
            <w:vAlign w:val="center"/>
          </w:tcPr>
          <w:p w14:paraId="28238702" w14:textId="77777777" w:rsidR="00690701" w:rsidRPr="00755304" w:rsidRDefault="00690701">
            <w:pPr>
              <w:spacing w:before="60" w:after="60" w:line="240" w:lineRule="auto"/>
              <w:jc w:val="center"/>
              <w:rPr>
                <w:sz w:val="20"/>
                <w:szCs w:val="20"/>
              </w:rPr>
            </w:pPr>
            <w:r w:rsidRPr="00755304">
              <w:rPr>
                <w:rFonts w:cs="Open Sans"/>
                <w:color w:val="FFFFFF" w:themeColor="background1"/>
                <w:sz w:val="20"/>
                <w:szCs w:val="20"/>
              </w:rPr>
              <w:t>Achieved</w:t>
            </w:r>
          </w:p>
        </w:tc>
        <w:tc>
          <w:tcPr>
            <w:tcW w:w="5812" w:type="dxa"/>
            <w:vAlign w:val="center"/>
          </w:tcPr>
          <w:p w14:paraId="75FF1264" w14:textId="77777777" w:rsidR="00690701" w:rsidRPr="00755304" w:rsidRDefault="00690701">
            <w:pPr>
              <w:spacing w:before="60" w:after="60" w:line="240" w:lineRule="auto"/>
              <w:rPr>
                <w:sz w:val="20"/>
                <w:szCs w:val="20"/>
              </w:rPr>
            </w:pPr>
            <w:r w:rsidRPr="00755304">
              <w:rPr>
                <w:sz w:val="20"/>
                <w:szCs w:val="20"/>
              </w:rPr>
              <w:t>Target achieved</w:t>
            </w:r>
          </w:p>
        </w:tc>
      </w:tr>
      <w:tr w:rsidR="00690701" w:rsidRPr="00755304" w14:paraId="4C6BF75B" w14:textId="77777777">
        <w:tc>
          <w:tcPr>
            <w:tcW w:w="1696" w:type="dxa"/>
            <w:shd w:val="clear" w:color="auto" w:fill="F7CE67"/>
            <w:vAlign w:val="center"/>
          </w:tcPr>
          <w:p w14:paraId="008D725C" w14:textId="77777777" w:rsidR="00690701" w:rsidRPr="00755304" w:rsidRDefault="00690701">
            <w:pPr>
              <w:spacing w:before="60" w:after="60" w:line="240" w:lineRule="auto"/>
              <w:jc w:val="center"/>
              <w:rPr>
                <w:sz w:val="20"/>
                <w:szCs w:val="20"/>
              </w:rPr>
            </w:pPr>
            <w:r w:rsidRPr="00755304">
              <w:rPr>
                <w:rFonts w:cs="Open Sans"/>
                <w:sz w:val="20"/>
                <w:szCs w:val="20"/>
              </w:rPr>
              <w:t>On track</w:t>
            </w:r>
          </w:p>
        </w:tc>
        <w:tc>
          <w:tcPr>
            <w:tcW w:w="5812" w:type="dxa"/>
            <w:vAlign w:val="center"/>
          </w:tcPr>
          <w:p w14:paraId="4D68E6D2" w14:textId="77777777" w:rsidR="00690701" w:rsidRPr="00755304" w:rsidRDefault="00690701">
            <w:pPr>
              <w:spacing w:before="60" w:after="60" w:line="240" w:lineRule="auto"/>
              <w:jc w:val="left"/>
              <w:rPr>
                <w:sz w:val="20"/>
                <w:szCs w:val="20"/>
              </w:rPr>
            </w:pPr>
            <w:r w:rsidRPr="00755304">
              <w:rPr>
                <w:sz w:val="20"/>
                <w:szCs w:val="20"/>
              </w:rPr>
              <w:t>Timely completion expected</w:t>
            </w:r>
          </w:p>
        </w:tc>
      </w:tr>
      <w:tr w:rsidR="00690701" w:rsidRPr="00755304" w14:paraId="4913CC60" w14:textId="77777777">
        <w:tc>
          <w:tcPr>
            <w:tcW w:w="1696" w:type="dxa"/>
            <w:shd w:val="clear" w:color="auto" w:fill="D9654C"/>
            <w:vAlign w:val="center"/>
          </w:tcPr>
          <w:p w14:paraId="64FD4708" w14:textId="77777777" w:rsidR="00690701" w:rsidRPr="00755304" w:rsidRDefault="00690701">
            <w:pPr>
              <w:spacing w:before="60" w:after="60" w:line="240" w:lineRule="auto"/>
              <w:jc w:val="center"/>
              <w:rPr>
                <w:sz w:val="20"/>
                <w:szCs w:val="20"/>
              </w:rPr>
            </w:pPr>
            <w:r w:rsidRPr="00755304">
              <w:rPr>
                <w:rFonts w:cs="Open Sans"/>
                <w:color w:val="FFFFFF" w:themeColor="background1"/>
                <w:sz w:val="20"/>
                <w:szCs w:val="20"/>
              </w:rPr>
              <w:t>Delayed</w:t>
            </w:r>
          </w:p>
        </w:tc>
        <w:tc>
          <w:tcPr>
            <w:tcW w:w="5812" w:type="dxa"/>
            <w:vAlign w:val="center"/>
          </w:tcPr>
          <w:p w14:paraId="639AEA1A" w14:textId="77777777" w:rsidR="00690701" w:rsidRPr="00755304" w:rsidRDefault="00690701">
            <w:pPr>
              <w:spacing w:before="60" w:after="60" w:line="240" w:lineRule="auto"/>
              <w:jc w:val="left"/>
              <w:rPr>
                <w:sz w:val="20"/>
                <w:szCs w:val="20"/>
              </w:rPr>
            </w:pPr>
            <w:r w:rsidRPr="00755304">
              <w:rPr>
                <w:sz w:val="20"/>
                <w:szCs w:val="20"/>
              </w:rPr>
              <w:t>Delayed compared to original schedule</w:t>
            </w:r>
          </w:p>
        </w:tc>
      </w:tr>
      <w:tr w:rsidR="00690701" w:rsidRPr="00755304" w14:paraId="55DA6809" w14:textId="77777777">
        <w:tc>
          <w:tcPr>
            <w:tcW w:w="1696" w:type="dxa"/>
            <w:shd w:val="clear" w:color="auto" w:fill="418FDE"/>
            <w:vAlign w:val="center"/>
          </w:tcPr>
          <w:p w14:paraId="17944C0E" w14:textId="77777777" w:rsidR="00690701" w:rsidRPr="00755304" w:rsidRDefault="00690701">
            <w:pPr>
              <w:spacing w:before="60" w:after="60" w:line="240" w:lineRule="auto"/>
              <w:jc w:val="center"/>
              <w:rPr>
                <w:rFonts w:cs="Open Sans"/>
                <w:sz w:val="20"/>
                <w:szCs w:val="20"/>
              </w:rPr>
            </w:pPr>
            <w:r w:rsidRPr="00755304">
              <w:rPr>
                <w:rFonts w:eastAsia="Times New Roman" w:cs="Open Sans"/>
                <w:color w:val="FFFFFF" w:themeColor="background1"/>
                <w:kern w:val="0"/>
                <w:sz w:val="20"/>
                <w:szCs w:val="20"/>
                <w:lang w:val="en-US" w:eastAsia="ko-KR"/>
                <w14:ligatures w14:val="none"/>
              </w:rPr>
              <w:t>Not yet started</w:t>
            </w:r>
          </w:p>
        </w:tc>
        <w:tc>
          <w:tcPr>
            <w:tcW w:w="5812" w:type="dxa"/>
            <w:vAlign w:val="center"/>
          </w:tcPr>
          <w:p w14:paraId="2F366C02" w14:textId="77777777" w:rsidR="00690701" w:rsidRPr="00755304" w:rsidRDefault="00690701">
            <w:pPr>
              <w:spacing w:before="60" w:after="60" w:line="240" w:lineRule="auto"/>
              <w:jc w:val="left"/>
              <w:rPr>
                <w:sz w:val="20"/>
                <w:szCs w:val="20"/>
              </w:rPr>
            </w:pPr>
            <w:r w:rsidRPr="00755304">
              <w:rPr>
                <w:sz w:val="20"/>
                <w:szCs w:val="20"/>
              </w:rPr>
              <w:t xml:space="preserve">Funding request approved but implementation not started </w:t>
            </w:r>
          </w:p>
        </w:tc>
      </w:tr>
      <w:tr w:rsidR="00690701" w:rsidRPr="00755304" w14:paraId="1AB84F3D" w14:textId="77777777">
        <w:trPr>
          <w:trHeight w:val="85"/>
        </w:trPr>
        <w:tc>
          <w:tcPr>
            <w:tcW w:w="1696" w:type="dxa"/>
            <w:shd w:val="clear" w:color="auto" w:fill="C3C3C3" w:themeFill="background2" w:themeFillShade="E6"/>
            <w:vAlign w:val="center"/>
          </w:tcPr>
          <w:p w14:paraId="36D5FCE8" w14:textId="77777777" w:rsidR="00690701" w:rsidRPr="00755304" w:rsidRDefault="00690701">
            <w:pPr>
              <w:spacing w:before="60" w:after="60" w:line="240" w:lineRule="auto"/>
              <w:jc w:val="center"/>
              <w:rPr>
                <w:rFonts w:eastAsia="Times New Roman" w:cs="Open Sans"/>
                <w:color w:val="FFFFFF" w:themeColor="background1"/>
                <w:sz w:val="20"/>
                <w:szCs w:val="20"/>
                <w:lang w:val="en-US" w:eastAsia="ko-KR"/>
              </w:rPr>
            </w:pPr>
            <w:r w:rsidRPr="00755304">
              <w:rPr>
                <w:rFonts w:eastAsia="Times New Roman" w:cs="Open Sans"/>
                <w:sz w:val="20"/>
                <w:szCs w:val="20"/>
                <w:lang w:val="en-US" w:eastAsia="ko-KR"/>
              </w:rPr>
              <w:t>N/A</w:t>
            </w:r>
          </w:p>
        </w:tc>
        <w:tc>
          <w:tcPr>
            <w:tcW w:w="5812" w:type="dxa"/>
            <w:vAlign w:val="center"/>
          </w:tcPr>
          <w:p w14:paraId="4A542FBD" w14:textId="77777777" w:rsidR="00690701" w:rsidRPr="00755304" w:rsidRDefault="00690701">
            <w:pPr>
              <w:spacing w:before="60" w:after="60" w:line="240" w:lineRule="auto"/>
              <w:jc w:val="left"/>
              <w:rPr>
                <w:sz w:val="20"/>
                <w:szCs w:val="20"/>
              </w:rPr>
            </w:pPr>
            <w:r w:rsidRPr="00755304">
              <w:rPr>
                <w:sz w:val="20"/>
                <w:szCs w:val="20"/>
              </w:rPr>
              <w:t>No activity will be conducted</w:t>
            </w:r>
          </w:p>
        </w:tc>
      </w:tr>
    </w:tbl>
    <w:p w14:paraId="2BC48804" w14:textId="77777777" w:rsidR="00690701" w:rsidRDefault="00690701" w:rsidP="00690701">
      <w:pPr>
        <w:keepNext/>
      </w:pPr>
    </w:p>
    <w:p w14:paraId="2DA2C56A" w14:textId="77777777" w:rsidR="00690701" w:rsidRDefault="00690701" w:rsidP="00690701">
      <w:pPr>
        <w:keepNext/>
        <w:sectPr w:rsidR="00690701" w:rsidSect="00690701">
          <w:pgSz w:w="20160" w:h="12240" w:orient="landscape" w:code="5"/>
          <w:pgMar w:top="720" w:right="720" w:bottom="720" w:left="720" w:header="1418" w:footer="709" w:gutter="0"/>
          <w:cols w:space="708"/>
          <w:titlePg/>
          <w:docGrid w:linePitch="360"/>
        </w:sectPr>
      </w:pPr>
    </w:p>
    <w:tbl>
      <w:tblPr>
        <w:tblStyle w:val="TableGrid"/>
        <w:tblW w:w="0" w:type="auto"/>
        <w:tblLook w:val="04A0" w:firstRow="1" w:lastRow="0" w:firstColumn="1" w:lastColumn="0" w:noHBand="0" w:noVBand="1"/>
      </w:tblPr>
      <w:tblGrid>
        <w:gridCol w:w="2118"/>
        <w:gridCol w:w="6898"/>
      </w:tblGrid>
      <w:tr w:rsidR="00690701" w14:paraId="6FEEDC2E" w14:textId="77777777">
        <w:tc>
          <w:tcPr>
            <w:tcW w:w="2972" w:type="dxa"/>
            <w:shd w:val="clear" w:color="auto" w:fill="F2F2F2" w:themeFill="background1" w:themeFillShade="F2"/>
          </w:tcPr>
          <w:p w14:paraId="587C43AE" w14:textId="77777777" w:rsidR="00690701" w:rsidRPr="000C5F82" w:rsidRDefault="00690701">
            <w:pPr>
              <w:keepNext/>
              <w:jc w:val="left"/>
              <w:rPr>
                <w:b/>
                <w:color w:val="008B85" w:themeColor="accent3"/>
                <w:lang w:val="en-US" w:eastAsia="ko-KR"/>
              </w:rPr>
            </w:pPr>
            <w:bookmarkStart w:id="36" w:name="_Hlk208599697"/>
            <w:r w:rsidRPr="000C5F82">
              <w:rPr>
                <w:rFonts w:hint="eastAsia"/>
                <w:b/>
                <w:color w:val="008B85" w:themeColor="accent3"/>
                <w:lang w:val="en-US" w:eastAsia="ko-KR"/>
              </w:rPr>
              <w:lastRenderedPageBreak/>
              <w:t>Belize</w:t>
            </w:r>
          </w:p>
          <w:p w14:paraId="490354A9" w14:textId="77777777" w:rsidR="00690701" w:rsidRDefault="00690701">
            <w:pPr>
              <w:keepNext/>
              <w:jc w:val="left"/>
              <w:rPr>
                <w:color w:val="185980"/>
                <w:lang w:val="en-US" w:eastAsia="ko-KR"/>
              </w:rPr>
            </w:pPr>
            <w:r w:rsidRPr="0018654D">
              <w:rPr>
                <w:color w:val="185980"/>
                <w:lang w:val="en-US"/>
              </w:rPr>
              <w:t xml:space="preserve">IE: </w:t>
            </w:r>
            <w:r>
              <w:rPr>
                <w:rFonts w:hint="eastAsia"/>
                <w:color w:val="185980"/>
                <w:lang w:val="en-US" w:eastAsia="ko-KR"/>
              </w:rPr>
              <w:t>IDB</w:t>
            </w:r>
            <w:r w:rsidRPr="0018654D">
              <w:rPr>
                <w:color w:val="185980"/>
                <w:lang w:val="en-US"/>
              </w:rPr>
              <w:t xml:space="preserve">, peer advisor: </w:t>
            </w:r>
            <w:r>
              <w:rPr>
                <w:rFonts w:hint="eastAsia"/>
                <w:color w:val="185980"/>
                <w:lang w:val="en-US" w:eastAsia="ko-KR"/>
              </w:rPr>
              <w:t>UK Met</w:t>
            </w:r>
          </w:p>
          <w:p w14:paraId="1FD3B32F" w14:textId="78DC2048" w:rsidR="000C5F82" w:rsidRPr="00E21A8B" w:rsidRDefault="00772561" w:rsidP="000C5F82">
            <w:pPr>
              <w:keepNext/>
              <w:jc w:val="left"/>
            </w:pPr>
            <w:hyperlink r:id="rId34" w:history="1">
              <w:r w:rsidRPr="00946B7F">
                <w:rPr>
                  <w:rStyle w:val="Hyperlink"/>
                  <w:lang w:val="en-US"/>
                </w:rPr>
                <w:t>Link to semi</w:t>
              </w:r>
              <w:r w:rsidR="00946B7F" w:rsidRPr="00946B7F">
                <w:rPr>
                  <w:rStyle w:val="Hyperlink"/>
                  <w:lang w:val="en-US"/>
                </w:rPr>
                <w:t>-annual report IE</w:t>
              </w:r>
            </w:hyperlink>
          </w:p>
          <w:p w14:paraId="323D51B0" w14:textId="2916815F" w:rsidR="000C5F82" w:rsidRPr="004909CD" w:rsidRDefault="000C5F82" w:rsidP="000C5F82">
            <w:pPr>
              <w:keepNext/>
              <w:jc w:val="left"/>
              <w:rPr>
                <w:color w:val="185980"/>
                <w:lang w:val="en-US"/>
              </w:rPr>
            </w:pPr>
            <w:hyperlink r:id="rId35" w:history="1">
              <w:r w:rsidRPr="002734F8">
                <w:rPr>
                  <w:rStyle w:val="Hyperlink"/>
                </w:rPr>
                <w:t xml:space="preserve">Link to </w:t>
              </w:r>
              <w:r w:rsidR="002734F8" w:rsidRPr="002734F8">
                <w:rPr>
                  <w:rStyle w:val="Hyperlink"/>
                </w:rPr>
                <w:t>the</w:t>
              </w:r>
              <w:r w:rsidRPr="002734F8">
                <w:rPr>
                  <w:rStyle w:val="Hyperlink"/>
                </w:rPr>
                <w:t xml:space="preserve"> semi-annual report peer advisor</w:t>
              </w:r>
            </w:hyperlink>
          </w:p>
        </w:tc>
        <w:tc>
          <w:tcPr>
            <w:tcW w:w="15738" w:type="dxa"/>
          </w:tcPr>
          <w:p w14:paraId="7573A0DB" w14:textId="63A92F0D" w:rsidR="00690701" w:rsidRPr="000C5F82" w:rsidRDefault="000C5F82" w:rsidP="000C5F82">
            <w:pPr>
              <w:rPr>
                <w:lang w:eastAsia="ko-KR"/>
              </w:rPr>
            </w:pPr>
            <w:r w:rsidRPr="000C5F82">
              <w:rPr>
                <w:lang w:eastAsia="ko-KR"/>
              </w:rPr>
              <w:t xml:space="preserve">The SOFF operation in Belize is currently in the preparatory phase, with essential administrative and recruitment processes actively underway. Following approval by the Inter-American Development Bank (IDB) on 3 April and formal signing by the Prime Minister on 20 May—after delays related to the finalization of the framework agreement between IDB and UNDP—a launch event was held to mark the start of implementation. The project is now focused on meeting the conditions required for disbursement, including the recruitment of a project manager by the National Meteorological Service and the completion of administrative tasks. </w:t>
            </w:r>
          </w:p>
        </w:tc>
      </w:tr>
      <w:tr w:rsidR="00690701" w14:paraId="621DB2B1" w14:textId="77777777">
        <w:tc>
          <w:tcPr>
            <w:tcW w:w="2972" w:type="dxa"/>
            <w:shd w:val="clear" w:color="auto" w:fill="F2F2F2" w:themeFill="background1" w:themeFillShade="F2"/>
          </w:tcPr>
          <w:p w14:paraId="3981BCD5" w14:textId="77777777" w:rsidR="00690701" w:rsidRPr="000C5F82" w:rsidRDefault="00690701">
            <w:pPr>
              <w:keepNext/>
              <w:jc w:val="left"/>
              <w:rPr>
                <w:b/>
                <w:color w:val="008B85" w:themeColor="accent3"/>
                <w:lang w:val="en-US"/>
              </w:rPr>
            </w:pPr>
            <w:bookmarkStart w:id="37" w:name="_Hlk208596220"/>
            <w:r w:rsidRPr="000C5F82">
              <w:rPr>
                <w:b/>
                <w:color w:val="008B85" w:themeColor="accent3"/>
                <w:lang w:val="en-US"/>
              </w:rPr>
              <w:t xml:space="preserve">Bhutan </w:t>
            </w:r>
          </w:p>
          <w:p w14:paraId="4136156A" w14:textId="77777777" w:rsidR="00690701" w:rsidRDefault="00690701">
            <w:pPr>
              <w:keepNext/>
              <w:jc w:val="left"/>
              <w:rPr>
                <w:color w:val="185980"/>
                <w:lang w:val="en-US"/>
              </w:rPr>
            </w:pPr>
            <w:r w:rsidRPr="411D2811">
              <w:rPr>
                <w:color w:val="185980"/>
                <w:lang w:val="en-US"/>
              </w:rPr>
              <w:t>IE: UNEP, peer advisor: FMI Finland</w:t>
            </w:r>
          </w:p>
          <w:p w14:paraId="52E05BC6" w14:textId="77777777" w:rsidR="00690701" w:rsidRDefault="00690701">
            <w:pPr>
              <w:keepNext/>
              <w:jc w:val="left"/>
              <w:rPr>
                <w:color w:val="185980"/>
                <w:lang w:val="en-US"/>
              </w:rPr>
            </w:pPr>
          </w:p>
          <w:p w14:paraId="4665A5EE" w14:textId="0D14B7D3" w:rsidR="00690701" w:rsidRDefault="00690701">
            <w:pPr>
              <w:keepNext/>
              <w:jc w:val="left"/>
              <w:rPr>
                <w:lang w:val="en-US"/>
              </w:rPr>
            </w:pPr>
            <w:hyperlink r:id="rId36" w:history="1">
              <w:r w:rsidRPr="00A95BDF">
                <w:rPr>
                  <w:rStyle w:val="Hyperlink"/>
                  <w:lang w:val="en-US"/>
                </w:rPr>
                <w:t xml:space="preserve">Link to the </w:t>
              </w:r>
              <w:r w:rsidR="008B4F4B" w:rsidRPr="00A95BDF">
                <w:rPr>
                  <w:rStyle w:val="Hyperlink"/>
                  <w:lang w:val="en-US"/>
                </w:rPr>
                <w:t>s</w:t>
              </w:r>
              <w:r w:rsidR="008B4F4B" w:rsidRPr="00A95BDF">
                <w:rPr>
                  <w:rStyle w:val="Hyperlink"/>
                </w:rPr>
                <w:t>emi-</w:t>
              </w:r>
              <w:r w:rsidRPr="00A95BDF">
                <w:rPr>
                  <w:rStyle w:val="Hyperlink"/>
                  <w:lang w:val="en-US"/>
                </w:rPr>
                <w:t>annual report</w:t>
              </w:r>
              <w:r w:rsidR="008B4F4B" w:rsidRPr="00A95BDF">
                <w:rPr>
                  <w:rStyle w:val="Hyperlink"/>
                </w:rPr>
                <w:t xml:space="preserve"> </w:t>
              </w:r>
              <w:r w:rsidR="00A95BDF" w:rsidRPr="00A95BDF">
                <w:rPr>
                  <w:rStyle w:val="Hyperlink"/>
                </w:rPr>
                <w:t>IE</w:t>
              </w:r>
            </w:hyperlink>
          </w:p>
          <w:p w14:paraId="7E88BE24" w14:textId="77777777" w:rsidR="00291DDF" w:rsidRPr="00A95BDF" w:rsidRDefault="00291DDF">
            <w:pPr>
              <w:keepNext/>
              <w:jc w:val="left"/>
            </w:pPr>
          </w:p>
          <w:p w14:paraId="042D93B9" w14:textId="486A3981" w:rsidR="008B4F4B" w:rsidRPr="00101C4D" w:rsidRDefault="008B4F4B">
            <w:pPr>
              <w:keepNext/>
              <w:jc w:val="left"/>
              <w:rPr>
                <w:color w:val="185980"/>
                <w:lang w:val="en-US"/>
              </w:rPr>
            </w:pPr>
            <w:hyperlink r:id="rId37" w:history="1">
              <w:r w:rsidRPr="008476D4">
                <w:rPr>
                  <w:rStyle w:val="Hyperlink"/>
                </w:rPr>
                <w:t>Link to the semi-annual report of the peer advisor</w:t>
              </w:r>
            </w:hyperlink>
          </w:p>
        </w:tc>
        <w:tc>
          <w:tcPr>
            <w:tcW w:w="15738" w:type="dxa"/>
          </w:tcPr>
          <w:p w14:paraId="083EDA0F" w14:textId="2FC5DFFF" w:rsidR="000C5F82" w:rsidRPr="000C5F82" w:rsidRDefault="000C5F82" w:rsidP="000C5F82">
            <w:pPr>
              <w:keepNext/>
            </w:pPr>
            <w:r w:rsidRPr="000C5F82">
              <w:t>Since the last reporting period</w:t>
            </w:r>
            <w:r>
              <w:t xml:space="preserve"> </w:t>
            </w:r>
            <w:hyperlink r:id="rId38" w:history="1">
              <w:r w:rsidRPr="00F30EC6">
                <w:rPr>
                  <w:rStyle w:val="Hyperlink"/>
                  <w:lang w:eastAsia="ko-KR"/>
                </w:rPr>
                <w:t>INF 11.2 SOFF Portfolio and Implementation Progress</w:t>
              </w:r>
            </w:hyperlink>
            <w:r w:rsidRPr="000C5F82">
              <w:t>, the SOFF Investment Phase in Bhutan has transitioned from foundational setup to active implementation. Building on earlier milestones such as the inception workshop, establishment of the Project Management Unit (PMU), and initial SmartMet training, the project has made notable progress in institutional capacity building, technical training, and procurement readiness.</w:t>
            </w:r>
          </w:p>
          <w:p w14:paraId="76BA3F5C" w14:textId="0A5B7D60" w:rsidR="00690701" w:rsidRPr="000C5F82" w:rsidRDefault="000C5F82">
            <w:pPr>
              <w:keepNext/>
            </w:pPr>
            <w:r w:rsidRPr="000C5F82">
              <w:t>New developments include the initiation of procurement activities for key system upgrades—such as the Weather Information System (WIS), Climate Data Management System (CDMS), AWOS server, and upper-air observation infrastructure—undertaken in coordination with UNEP and FMI. Strategic planning for the upper-air station in Tsirang has advanced, with consultancy work nearing completion. Capacity development efforts have intensified with the delivery of a SmartMet Forecast Product Workshop, an 8-day technical training on AWS configuration, and a Consultation Workshop on Standardization and Innovation, which led to the finalization of five core technical documents. Monthly coordination meetings among NCHM, UNEP, and FMI continue to ensure alignment and structured progress. These activities mark a shift toward operational strengthening and readiness for full-scale implementation.</w:t>
            </w:r>
          </w:p>
        </w:tc>
      </w:tr>
      <w:bookmarkEnd w:id="37"/>
      <w:tr w:rsidR="00690701" w14:paraId="45600AC0" w14:textId="77777777">
        <w:tc>
          <w:tcPr>
            <w:tcW w:w="2972" w:type="dxa"/>
            <w:shd w:val="clear" w:color="auto" w:fill="F2F2F2" w:themeFill="background1" w:themeFillShade="F2"/>
          </w:tcPr>
          <w:p w14:paraId="285D1D53" w14:textId="77777777" w:rsidR="00690701" w:rsidRPr="00DB7208" w:rsidRDefault="00690701">
            <w:pPr>
              <w:keepNext/>
              <w:jc w:val="left"/>
              <w:rPr>
                <w:b/>
                <w:color w:val="008B85" w:themeColor="accent3"/>
              </w:rPr>
            </w:pPr>
            <w:r w:rsidRPr="00DB7208">
              <w:rPr>
                <w:b/>
                <w:color w:val="008B85" w:themeColor="accent3"/>
              </w:rPr>
              <w:lastRenderedPageBreak/>
              <w:t xml:space="preserve">Cabo Verde </w:t>
            </w:r>
          </w:p>
          <w:p w14:paraId="173AB7A5" w14:textId="77777777" w:rsidR="00690701" w:rsidRDefault="00690701">
            <w:pPr>
              <w:keepNext/>
              <w:jc w:val="left"/>
              <w:rPr>
                <w:color w:val="185980"/>
              </w:rPr>
            </w:pPr>
            <w:r w:rsidRPr="411D2811">
              <w:rPr>
                <w:color w:val="185980"/>
              </w:rPr>
              <w:t>IE: UNEP, peer advisor: KNMI Netherlands</w:t>
            </w:r>
          </w:p>
          <w:p w14:paraId="42A3FB26" w14:textId="77777777" w:rsidR="00690701" w:rsidRDefault="00690701">
            <w:pPr>
              <w:keepNext/>
              <w:jc w:val="left"/>
              <w:rPr>
                <w:color w:val="185980"/>
                <w:lang w:val="en-US"/>
              </w:rPr>
            </w:pPr>
          </w:p>
          <w:p w14:paraId="4AEDF174" w14:textId="5BAC9285" w:rsidR="008B4F4B" w:rsidRPr="004142F7" w:rsidRDefault="008B4F4B" w:rsidP="008B4F4B">
            <w:pPr>
              <w:keepNext/>
              <w:jc w:val="left"/>
            </w:pPr>
            <w:hyperlink r:id="rId39" w:history="1">
              <w:r w:rsidRPr="004142F7">
                <w:rPr>
                  <w:rStyle w:val="Hyperlink"/>
                  <w:lang w:val="en-US"/>
                </w:rPr>
                <w:t>Link to the s</w:t>
              </w:r>
              <w:r w:rsidRPr="004142F7">
                <w:rPr>
                  <w:rStyle w:val="Hyperlink"/>
                </w:rPr>
                <w:t>emi-</w:t>
              </w:r>
              <w:r w:rsidRPr="004142F7">
                <w:rPr>
                  <w:rStyle w:val="Hyperlink"/>
                  <w:lang w:val="en-US"/>
                </w:rPr>
                <w:t>annual report</w:t>
              </w:r>
              <w:r w:rsidRPr="004142F7">
                <w:rPr>
                  <w:rStyle w:val="Hyperlink"/>
                </w:rPr>
                <w:t xml:space="preserve"> </w:t>
              </w:r>
              <w:r w:rsidR="00F23ACB" w:rsidRPr="004142F7">
                <w:rPr>
                  <w:rStyle w:val="Hyperlink"/>
                </w:rPr>
                <w:t>IE</w:t>
              </w:r>
            </w:hyperlink>
          </w:p>
          <w:p w14:paraId="27E6C237" w14:textId="4397F002" w:rsidR="00690701" w:rsidRPr="00101C4D" w:rsidRDefault="008B4F4B" w:rsidP="008B4F4B">
            <w:pPr>
              <w:keepNext/>
              <w:jc w:val="left"/>
              <w:rPr>
                <w:color w:val="185980"/>
              </w:rPr>
            </w:pPr>
            <w:hyperlink r:id="rId40" w:history="1">
              <w:r w:rsidRPr="009113F7">
                <w:rPr>
                  <w:rStyle w:val="Hyperlink"/>
                </w:rPr>
                <w:t>Link to the semi-annual report of the peer advisor</w:t>
              </w:r>
            </w:hyperlink>
          </w:p>
        </w:tc>
        <w:tc>
          <w:tcPr>
            <w:tcW w:w="15738" w:type="dxa"/>
          </w:tcPr>
          <w:p w14:paraId="69110409" w14:textId="77777777" w:rsidR="00DB7208" w:rsidRDefault="008B4F4B" w:rsidP="00DB7208">
            <w:pPr>
              <w:keepNext/>
            </w:pPr>
            <w:r w:rsidRPr="008B4F4B">
              <w:t xml:space="preserve">In addition to the </w:t>
            </w:r>
            <w:r>
              <w:t xml:space="preserve">updates </w:t>
            </w:r>
            <w:r w:rsidRPr="008B4F4B">
              <w:t xml:space="preserve">reported </w:t>
            </w:r>
            <w:r>
              <w:t xml:space="preserve">in </w:t>
            </w:r>
            <w:hyperlink r:id="rId41" w:history="1">
              <w:r w:rsidRPr="00F30EC6">
                <w:rPr>
                  <w:rStyle w:val="Hyperlink"/>
                  <w:lang w:eastAsia="ko-KR"/>
                </w:rPr>
                <w:t>INF 11.2 SOFF Portfolio and Implementation Progress</w:t>
              </w:r>
            </w:hyperlink>
            <w:r w:rsidRPr="008B4F4B">
              <w:t>, the new updates include the joint development of the 2025–2026 workplan; ongoing recruitment for the Project Management Unit (PMU); preparations for training programmes on data communication, Python, and WIS2Box; planning for a study visit to the Netherlands in October 2025; development of a gender action plan questionnaire; continued monthly coordination meetings among partners; and increased public visibility through national media coverage of SOFF financing.</w:t>
            </w:r>
          </w:p>
          <w:p w14:paraId="3E9A6D4D" w14:textId="39901F64" w:rsidR="008B4F4B" w:rsidRDefault="00DB7208" w:rsidP="00DB7208">
            <w:pPr>
              <w:keepNext/>
            </w:pPr>
            <w:r w:rsidRPr="00DB7208">
              <w:t>Cabo Verde is still in the process of completing recruitment for the Project Management Unit and technical staff, which has shifted the start of procurement and infrastructure installation to later reporting periods. Women’s participation in activities remains below the target, but the development of a gender action plan is expected to strengthen inclusivity going forward.</w:t>
            </w:r>
          </w:p>
        </w:tc>
      </w:tr>
      <w:tr w:rsidR="00690701" w14:paraId="61C8E85F" w14:textId="77777777">
        <w:tc>
          <w:tcPr>
            <w:tcW w:w="2972" w:type="dxa"/>
            <w:shd w:val="clear" w:color="auto" w:fill="F2F2F2" w:themeFill="background1" w:themeFillShade="F2"/>
          </w:tcPr>
          <w:p w14:paraId="1089312F" w14:textId="77777777" w:rsidR="00690701" w:rsidRPr="00B5292B" w:rsidRDefault="00690701">
            <w:pPr>
              <w:keepNext/>
              <w:jc w:val="left"/>
              <w:rPr>
                <w:b/>
                <w:color w:val="008B85" w:themeColor="accent3"/>
              </w:rPr>
            </w:pPr>
            <w:r w:rsidRPr="00B5292B">
              <w:rPr>
                <w:b/>
                <w:color w:val="008B85" w:themeColor="accent3"/>
              </w:rPr>
              <w:lastRenderedPageBreak/>
              <w:t xml:space="preserve">Chad </w:t>
            </w:r>
          </w:p>
          <w:p w14:paraId="7A308BD9" w14:textId="77777777" w:rsidR="00690701" w:rsidRDefault="00690701">
            <w:pPr>
              <w:keepNext/>
              <w:jc w:val="left"/>
              <w:rPr>
                <w:color w:val="185980"/>
              </w:rPr>
            </w:pPr>
            <w:r w:rsidRPr="411D2811">
              <w:rPr>
                <w:color w:val="185980"/>
              </w:rPr>
              <w:t>IE: WFP, peer advisor: Geosphere Austria</w:t>
            </w:r>
          </w:p>
          <w:p w14:paraId="3371F161" w14:textId="77777777" w:rsidR="00690701" w:rsidRDefault="00690701">
            <w:pPr>
              <w:keepNext/>
              <w:jc w:val="left"/>
              <w:rPr>
                <w:color w:val="185980"/>
                <w:lang w:val="en-US"/>
              </w:rPr>
            </w:pPr>
          </w:p>
          <w:p w14:paraId="421E5F8A" w14:textId="0244A86E" w:rsidR="008B4F4B" w:rsidRPr="00CD6B44" w:rsidRDefault="008B4F4B" w:rsidP="008B4F4B">
            <w:pPr>
              <w:keepNext/>
              <w:jc w:val="left"/>
            </w:pPr>
            <w:hyperlink r:id="rId42" w:history="1">
              <w:r w:rsidRPr="00FB3D7A">
                <w:rPr>
                  <w:rStyle w:val="Hyperlink"/>
                  <w:lang w:val="en-US"/>
                </w:rPr>
                <w:t>Link to the s</w:t>
              </w:r>
              <w:r w:rsidRPr="00FB3D7A">
                <w:rPr>
                  <w:rStyle w:val="Hyperlink"/>
                </w:rPr>
                <w:t>emi-</w:t>
              </w:r>
              <w:r w:rsidRPr="00FB3D7A">
                <w:rPr>
                  <w:rStyle w:val="Hyperlink"/>
                  <w:lang w:val="en-US"/>
                </w:rPr>
                <w:t>annual report</w:t>
              </w:r>
              <w:r w:rsidRPr="00FB3D7A">
                <w:rPr>
                  <w:rStyle w:val="Hyperlink"/>
                </w:rPr>
                <w:t xml:space="preserve"> </w:t>
              </w:r>
              <w:r w:rsidR="00CD6B44" w:rsidRPr="00FB3D7A">
                <w:rPr>
                  <w:rStyle w:val="Hyperlink"/>
                </w:rPr>
                <w:t>IE</w:t>
              </w:r>
            </w:hyperlink>
          </w:p>
          <w:p w14:paraId="3545DF4B" w14:textId="0AEB3893" w:rsidR="00690701" w:rsidRPr="00101C4D" w:rsidRDefault="008B4F4B" w:rsidP="008B4F4B">
            <w:pPr>
              <w:keepNext/>
              <w:jc w:val="left"/>
              <w:rPr>
                <w:color w:val="185980"/>
              </w:rPr>
            </w:pPr>
            <w:hyperlink r:id="rId43" w:history="1">
              <w:r w:rsidRPr="00A96A77">
                <w:rPr>
                  <w:rStyle w:val="Hyperlink"/>
                </w:rPr>
                <w:t>Link to the semi-annual report of the peer advisor</w:t>
              </w:r>
            </w:hyperlink>
          </w:p>
        </w:tc>
        <w:tc>
          <w:tcPr>
            <w:tcW w:w="15738" w:type="dxa"/>
          </w:tcPr>
          <w:p w14:paraId="524E85B2" w14:textId="7CBB427F" w:rsidR="00B5292B" w:rsidRPr="00B5292B" w:rsidRDefault="00B5292B" w:rsidP="00B5292B">
            <w:pPr>
              <w:rPr>
                <w:lang w:eastAsia="ko-KR"/>
              </w:rPr>
            </w:pPr>
            <w:bookmarkStart w:id="38" w:name="_Hlk208596603"/>
            <w:r w:rsidRPr="008B4F4B">
              <w:t xml:space="preserve">In addition to the </w:t>
            </w:r>
            <w:r>
              <w:t xml:space="preserve">updates </w:t>
            </w:r>
            <w:r w:rsidRPr="008B4F4B">
              <w:t xml:space="preserve">reported </w:t>
            </w:r>
            <w:r>
              <w:t xml:space="preserve">in </w:t>
            </w:r>
            <w:hyperlink r:id="rId44" w:history="1">
              <w:r w:rsidRPr="00F30EC6">
                <w:rPr>
                  <w:rStyle w:val="Hyperlink"/>
                  <w:lang w:eastAsia="ko-KR"/>
                </w:rPr>
                <w:t>INF 11.2 SOFF Portfolio and Implementation Progress</w:t>
              </w:r>
            </w:hyperlink>
            <w:r>
              <w:rPr>
                <w:lang w:eastAsia="ko-KR"/>
              </w:rPr>
              <w:t xml:space="preserve"> there were several new developments. </w:t>
            </w:r>
            <w:r w:rsidRPr="00B5292B">
              <w:rPr>
                <w:lang w:eastAsia="ko-KR"/>
              </w:rPr>
              <w:t>The project was officially launched in January 2025 through a high-level event and a five-day technical workshop, which finalized the implementation roadmap, defined institutional roles, and established governance and sustainability mechanisms. While this launch was mentioned in the previous report, the new update highlights its broad national media coverage and a notable achievement in gender inclusion, with 28% female participation—exceeding the Year 1 target of 5%.</w:t>
            </w:r>
          </w:p>
          <w:p w14:paraId="71D05E92" w14:textId="47C332ED" w:rsidR="00690701" w:rsidRPr="00B5292B" w:rsidRDefault="00B5292B">
            <w:pPr>
              <w:rPr>
                <w:lang w:eastAsia="ko-KR"/>
              </w:rPr>
            </w:pPr>
            <w:r w:rsidRPr="00B5292B">
              <w:rPr>
                <w:lang w:eastAsia="ko-KR"/>
              </w:rPr>
              <w:t>Since the launch, two follow-up meetings between ANAM and WFP and five coordination meetings between WFP and GeoSphere have taken place to maintain momentum and ensure technical alignment. The recruitment process for the Project Manager is now underway, with interviews in progress; in the interim, the AA coordinator is temporarily fulfilling the role to avoid delays. A Technical Assistance Agreement has been drafted and is under legal review, marking a key step toward formalizing project operations and enabling equipment transfers. Preparations for a diagnostic mission are ongoing, including the development of terms of reference and a Kobo Toolbox questionnaire to support data collection. This complements regional missions already conducted by ANAM. At the global level, a Long-Term Agreement is being developed to streamline equipment procurement, with technical specifications finalized in collaboration between WFP Headquarters and UNDP. Additionally, discussions are underway to establish the terms of reference for the Project Steering Committee.</w:t>
            </w:r>
            <w:bookmarkEnd w:id="38"/>
          </w:p>
        </w:tc>
      </w:tr>
      <w:tr w:rsidR="00690701" w14:paraId="2E89E00F" w14:textId="77777777">
        <w:tc>
          <w:tcPr>
            <w:tcW w:w="2972" w:type="dxa"/>
            <w:shd w:val="clear" w:color="auto" w:fill="F2F2F2" w:themeFill="background1" w:themeFillShade="F2"/>
          </w:tcPr>
          <w:p w14:paraId="73875C8D" w14:textId="77777777" w:rsidR="00690701" w:rsidRPr="00DB7208" w:rsidRDefault="00690701">
            <w:pPr>
              <w:keepNext/>
              <w:jc w:val="left"/>
              <w:rPr>
                <w:b/>
                <w:color w:val="008B85" w:themeColor="accent3"/>
              </w:rPr>
            </w:pPr>
            <w:r w:rsidRPr="00DB7208">
              <w:rPr>
                <w:b/>
                <w:color w:val="008B85" w:themeColor="accent3"/>
              </w:rPr>
              <w:lastRenderedPageBreak/>
              <w:t>Ethiopia</w:t>
            </w:r>
          </w:p>
          <w:p w14:paraId="2AF67779" w14:textId="77777777" w:rsidR="00690701" w:rsidRDefault="00690701">
            <w:pPr>
              <w:keepNext/>
              <w:jc w:val="left"/>
              <w:rPr>
                <w:color w:val="185980"/>
              </w:rPr>
            </w:pPr>
            <w:r w:rsidRPr="411D2811">
              <w:rPr>
                <w:color w:val="185980"/>
              </w:rPr>
              <w:t>IE: UNDP, peer advisor: MET Norway</w:t>
            </w:r>
          </w:p>
          <w:p w14:paraId="4C522650" w14:textId="77777777" w:rsidR="00690701" w:rsidRDefault="00690701">
            <w:pPr>
              <w:keepNext/>
              <w:jc w:val="left"/>
              <w:rPr>
                <w:color w:val="185980"/>
                <w:lang w:val="en-US"/>
              </w:rPr>
            </w:pPr>
          </w:p>
          <w:p w14:paraId="57074090" w14:textId="4F73F9B9" w:rsidR="008B4F4B" w:rsidRPr="004A6EF2" w:rsidRDefault="008B4F4B" w:rsidP="008B4F4B">
            <w:pPr>
              <w:keepNext/>
              <w:jc w:val="left"/>
            </w:pPr>
            <w:hyperlink r:id="rId45" w:history="1">
              <w:r w:rsidRPr="004A6EF2">
                <w:rPr>
                  <w:rStyle w:val="Hyperlink"/>
                  <w:lang w:val="en-US"/>
                </w:rPr>
                <w:t>Link to the s</w:t>
              </w:r>
              <w:r w:rsidRPr="004A6EF2">
                <w:rPr>
                  <w:rStyle w:val="Hyperlink"/>
                </w:rPr>
                <w:t>emi-</w:t>
              </w:r>
              <w:r w:rsidRPr="004A6EF2">
                <w:rPr>
                  <w:rStyle w:val="Hyperlink"/>
                  <w:lang w:val="en-US"/>
                </w:rPr>
                <w:t>annual report</w:t>
              </w:r>
              <w:r w:rsidRPr="004A6EF2">
                <w:rPr>
                  <w:rStyle w:val="Hyperlink"/>
                </w:rPr>
                <w:t xml:space="preserve"> </w:t>
              </w:r>
              <w:r w:rsidR="00F02141" w:rsidRPr="004A6EF2">
                <w:rPr>
                  <w:rStyle w:val="Hyperlink"/>
                </w:rPr>
                <w:t>IE</w:t>
              </w:r>
            </w:hyperlink>
          </w:p>
          <w:p w14:paraId="06949E3D" w14:textId="253930E2" w:rsidR="00690701" w:rsidRPr="00101C4D" w:rsidRDefault="00037265" w:rsidP="008B4F4B">
            <w:pPr>
              <w:keepNext/>
              <w:jc w:val="left"/>
              <w:rPr>
                <w:color w:val="185980"/>
              </w:rPr>
            </w:pPr>
            <w:hyperlink r:id="rId46" w:history="1">
              <w:r w:rsidRPr="00037265">
                <w:rPr>
                  <w:rStyle w:val="Hyperlink"/>
                </w:rPr>
                <w:t>Link to the peer advisor report</w:t>
              </w:r>
            </w:hyperlink>
          </w:p>
        </w:tc>
        <w:tc>
          <w:tcPr>
            <w:tcW w:w="15738" w:type="dxa"/>
          </w:tcPr>
          <w:p w14:paraId="387D0086" w14:textId="448A8887" w:rsidR="00690701" w:rsidRPr="00CD48C9" w:rsidRDefault="00DB7208">
            <w:pPr>
              <w:rPr>
                <w:lang w:eastAsia="ko-KR"/>
              </w:rPr>
            </w:pPr>
            <w:r w:rsidRPr="008B4F4B">
              <w:t xml:space="preserve">In addition to the </w:t>
            </w:r>
            <w:r>
              <w:t xml:space="preserve">updates </w:t>
            </w:r>
            <w:r w:rsidRPr="008B4F4B">
              <w:t xml:space="preserve">reported </w:t>
            </w:r>
            <w:r>
              <w:t xml:space="preserve">in </w:t>
            </w:r>
            <w:hyperlink r:id="rId47" w:history="1">
              <w:r w:rsidRPr="00F30EC6">
                <w:rPr>
                  <w:rStyle w:val="Hyperlink"/>
                  <w:lang w:eastAsia="ko-KR"/>
                </w:rPr>
                <w:t>INF 11.2 SOFF Portfolio and Implementation Progress</w:t>
              </w:r>
            </w:hyperlink>
            <w:r w:rsidRPr="008B4F4B">
              <w:t xml:space="preserve">, the </w:t>
            </w:r>
            <w:r w:rsidRPr="00DB7208">
              <w:rPr>
                <w:lang w:eastAsia="ko-KR"/>
              </w:rPr>
              <w:t>Project Management Unit has been fully staffed, complemented by UNDP’s deployment of additional programme specialists to strengthen technical and operational support. A Project Steering Committee and a Technical Task Team are now in place, ensuring both strategic oversight and hands-on technical guidance. A joint mission and workshop in May brought together EMI, UNDP, MET Norway, and other partners to align on infrastructure rollout, calibration, and data quality. Procurement processes are underway for 13 new and 16 upgraded AWS, fencing works, and upper-air station specifications, supported by site validation and communications testing. Ethiopia has also taken steps toward sustainable calibration capacity, including procurement of vehicles for mobile calibration and collaboration with MET Norway, Bangladesh, and CMA as benchmarks for an accredited laboratory. While implementation is progressing well, challenges remain in ensuring broader female participation in training activities and in attracting sufficient supplier bids for procurement. These are being addressed through extended deadlines, targeted engagement, and continued gender inclusion strategies.</w:t>
            </w:r>
          </w:p>
        </w:tc>
      </w:tr>
      <w:tr w:rsidR="00690701" w14:paraId="3D3DBF17" w14:textId="77777777">
        <w:tc>
          <w:tcPr>
            <w:tcW w:w="2972" w:type="dxa"/>
            <w:shd w:val="clear" w:color="auto" w:fill="F2F2F2" w:themeFill="background1" w:themeFillShade="F2"/>
          </w:tcPr>
          <w:p w14:paraId="7A656EF2" w14:textId="77777777" w:rsidR="00690701" w:rsidRPr="00B5292B" w:rsidRDefault="00690701">
            <w:pPr>
              <w:keepNext/>
              <w:jc w:val="left"/>
              <w:rPr>
                <w:b/>
                <w:color w:val="008B85" w:themeColor="accent3"/>
              </w:rPr>
            </w:pPr>
            <w:r w:rsidRPr="00B5292B">
              <w:rPr>
                <w:b/>
                <w:color w:val="008B85" w:themeColor="accent3"/>
              </w:rPr>
              <w:lastRenderedPageBreak/>
              <w:t>Kiribati</w:t>
            </w:r>
          </w:p>
          <w:p w14:paraId="205E2F67" w14:textId="77777777" w:rsidR="00690701" w:rsidRDefault="00690701">
            <w:pPr>
              <w:keepNext/>
              <w:jc w:val="left"/>
              <w:rPr>
                <w:color w:val="185980"/>
              </w:rPr>
            </w:pPr>
            <w:r w:rsidRPr="411D2811">
              <w:rPr>
                <w:color w:val="185980"/>
              </w:rPr>
              <w:t>IE: UNEP, peer advisor: BOM Australia</w:t>
            </w:r>
          </w:p>
          <w:p w14:paraId="584D5510" w14:textId="77777777" w:rsidR="00690701" w:rsidRDefault="00690701">
            <w:pPr>
              <w:keepNext/>
              <w:jc w:val="left"/>
              <w:rPr>
                <w:color w:val="185980"/>
                <w:lang w:val="en-US"/>
              </w:rPr>
            </w:pPr>
          </w:p>
          <w:p w14:paraId="7B190561" w14:textId="0A925FF3" w:rsidR="008B4F4B" w:rsidRPr="00060CC4" w:rsidRDefault="008B4F4B" w:rsidP="008B4F4B">
            <w:pPr>
              <w:keepNext/>
              <w:jc w:val="left"/>
            </w:pPr>
            <w:hyperlink r:id="rId48" w:history="1">
              <w:r w:rsidRPr="00060CC4">
                <w:rPr>
                  <w:rStyle w:val="Hyperlink"/>
                  <w:lang w:val="en-US"/>
                </w:rPr>
                <w:t>Link to the s</w:t>
              </w:r>
              <w:r w:rsidRPr="00060CC4">
                <w:rPr>
                  <w:rStyle w:val="Hyperlink"/>
                </w:rPr>
                <w:t>emi-</w:t>
              </w:r>
              <w:r w:rsidRPr="00060CC4">
                <w:rPr>
                  <w:rStyle w:val="Hyperlink"/>
                  <w:lang w:val="en-US"/>
                </w:rPr>
                <w:t>annual report</w:t>
              </w:r>
              <w:r w:rsidRPr="00060CC4">
                <w:rPr>
                  <w:rStyle w:val="Hyperlink"/>
                </w:rPr>
                <w:t xml:space="preserve"> </w:t>
              </w:r>
              <w:r w:rsidR="00060CC4" w:rsidRPr="00060CC4">
                <w:rPr>
                  <w:rStyle w:val="Hyperlink"/>
                </w:rPr>
                <w:t>IE</w:t>
              </w:r>
            </w:hyperlink>
          </w:p>
          <w:p w14:paraId="29C52E11" w14:textId="4E8D5AB5" w:rsidR="00690701" w:rsidRPr="00101C4D" w:rsidRDefault="00690701" w:rsidP="008B4F4B">
            <w:pPr>
              <w:keepNext/>
              <w:jc w:val="left"/>
              <w:rPr>
                <w:color w:val="185980"/>
              </w:rPr>
            </w:pPr>
          </w:p>
        </w:tc>
        <w:tc>
          <w:tcPr>
            <w:tcW w:w="15738" w:type="dxa"/>
          </w:tcPr>
          <w:p w14:paraId="77BF8CFF" w14:textId="28D5F4BE" w:rsidR="00B5292B" w:rsidRPr="00B5292B" w:rsidRDefault="00B5292B" w:rsidP="00B5292B">
            <w:pPr>
              <w:rPr>
                <w:lang w:eastAsia="ko-KR"/>
              </w:rPr>
            </w:pPr>
            <w:r w:rsidRPr="00B5292B">
              <w:rPr>
                <w:lang w:eastAsia="ko-KR"/>
              </w:rPr>
              <w:t xml:space="preserve">Since the last </w:t>
            </w:r>
            <w:r>
              <w:t xml:space="preserve">updates </w:t>
            </w:r>
            <w:r w:rsidRPr="008B4F4B">
              <w:t xml:space="preserve">reported </w:t>
            </w:r>
            <w:r>
              <w:t xml:space="preserve">in </w:t>
            </w:r>
            <w:hyperlink r:id="rId49" w:history="1">
              <w:r w:rsidRPr="00F30EC6">
                <w:rPr>
                  <w:rStyle w:val="Hyperlink"/>
                  <w:lang w:eastAsia="ko-KR"/>
                </w:rPr>
                <w:t>INF 11.2 SOFF Portfolio and Implementation Progress</w:t>
              </w:r>
            </w:hyperlink>
            <w:r w:rsidRPr="00B5292B">
              <w:rPr>
                <w:lang w:eastAsia="ko-KR"/>
              </w:rPr>
              <w:t>, the SOFF Investment Phase in Kiribati has moved from preparatory planning to early implementation, with several key milestones achieved under GBON institutional and human capacity developed. The inception workshop and the inauguration of the Project Steering Committee (PSC) were successfully conducted on 11 June 2025 in Bairiki, followed by the endorsement of the 2025 workplan. These events were attended by a broad range of national stakeholders and development partners, with a strong emphasis on gender inclusion</w:t>
            </w:r>
            <w:r>
              <w:rPr>
                <w:lang w:eastAsia="ko-KR"/>
              </w:rPr>
              <w:t xml:space="preserve">, </w:t>
            </w:r>
            <w:r w:rsidRPr="00B5292B">
              <w:rPr>
                <w:lang w:eastAsia="ko-KR"/>
              </w:rPr>
              <w:t>53.33% female participation at the PSC meeting and 69.6% at the subsequent Stakeholder Engagement Workshop held in Ambo with the Kiribati National Expert Group (KNEG).</w:t>
            </w:r>
          </w:p>
          <w:p w14:paraId="0A90FFBC" w14:textId="4656A940" w:rsidR="00B5292B" w:rsidRPr="00B5292B" w:rsidRDefault="00B5292B" w:rsidP="00B5292B">
            <w:pPr>
              <w:rPr>
                <w:lang w:eastAsia="ko-KR"/>
              </w:rPr>
            </w:pPr>
            <w:r w:rsidRPr="00B5292B">
              <w:rPr>
                <w:lang w:eastAsia="ko-KR"/>
              </w:rPr>
              <w:t xml:space="preserve">The Project Management Unit (PMU) has now been formally established within the Kiribati Meteorological Service (KMS), with a procurement officer and finance officer onboarded, and recruitment for the Project Manager </w:t>
            </w:r>
            <w:r>
              <w:rPr>
                <w:lang w:eastAsia="ko-KR"/>
              </w:rPr>
              <w:t xml:space="preserve">is </w:t>
            </w:r>
            <w:r w:rsidRPr="00B5292B">
              <w:rPr>
                <w:lang w:eastAsia="ko-KR"/>
              </w:rPr>
              <w:t xml:space="preserve">expected </w:t>
            </w:r>
            <w:r>
              <w:rPr>
                <w:lang w:eastAsia="ko-KR"/>
              </w:rPr>
              <w:t>soon</w:t>
            </w:r>
            <w:r w:rsidRPr="00B5292B">
              <w:rPr>
                <w:lang w:eastAsia="ko-KR"/>
              </w:rPr>
              <w:t xml:space="preserve">. Terms of Reference have been developed for additional technical positions, with vacancy announcements scheduled for release. Preparations are also underway for advanced meteorological training in Australia for eight KMS staff, as well as in-country training for new observers. UNEP also delivered an Environmental and Social Safeguards session, and a Gender Training session </w:t>
            </w:r>
            <w:r>
              <w:rPr>
                <w:lang w:eastAsia="ko-KR"/>
              </w:rPr>
              <w:t>in</w:t>
            </w:r>
            <w:r w:rsidRPr="00B5292B">
              <w:rPr>
                <w:lang w:eastAsia="ko-KR"/>
              </w:rPr>
              <w:t xml:space="preserve"> July 2025, led by the Ministry of Women, Youth, Sport and Social Affairs (MWYSSA), to inform the SOFF Gender Gap Analysis and Stakeholder Engagement Plan.</w:t>
            </w:r>
          </w:p>
          <w:p w14:paraId="348A6B28" w14:textId="42773386" w:rsidR="00690701" w:rsidRPr="00B5292B" w:rsidRDefault="00B5292B">
            <w:pPr>
              <w:rPr>
                <w:lang w:eastAsia="ko-KR"/>
              </w:rPr>
            </w:pPr>
            <w:r w:rsidRPr="00B5292B">
              <w:rPr>
                <w:lang w:eastAsia="ko-KR"/>
              </w:rPr>
              <w:t>Under Outcome 2, while no major infrastructure activities were completed during the reporting period, technical planning and preparatory work have advanced. This includes land feasibility assessments, civil works design, and procurement planning for the upgrade of five Automated Weather Stations and the establishment of an upper-air observation station. These activities are scheduled for implementation from Q4 2025 through the first half of 2026.</w:t>
            </w:r>
          </w:p>
        </w:tc>
      </w:tr>
      <w:tr w:rsidR="00690701" w14:paraId="2294E344" w14:textId="77777777">
        <w:tc>
          <w:tcPr>
            <w:tcW w:w="2972" w:type="dxa"/>
            <w:shd w:val="clear" w:color="auto" w:fill="F2F2F2" w:themeFill="background1" w:themeFillShade="F2"/>
          </w:tcPr>
          <w:p w14:paraId="04D89BDE" w14:textId="77777777" w:rsidR="00690701" w:rsidRPr="00B5292B" w:rsidRDefault="00690701">
            <w:pPr>
              <w:keepNext/>
              <w:jc w:val="left"/>
              <w:rPr>
                <w:b/>
                <w:color w:val="008B85" w:themeColor="accent3"/>
              </w:rPr>
            </w:pPr>
            <w:r w:rsidRPr="00D53C19">
              <w:rPr>
                <w:b/>
                <w:color w:val="008B85" w:themeColor="accent3"/>
              </w:rPr>
              <w:t>Madagascar</w:t>
            </w:r>
            <w:r w:rsidRPr="00B5292B">
              <w:rPr>
                <w:b/>
                <w:color w:val="008B85" w:themeColor="accent3"/>
              </w:rPr>
              <w:t xml:space="preserve"> </w:t>
            </w:r>
          </w:p>
          <w:p w14:paraId="04E04435" w14:textId="77777777" w:rsidR="00690701" w:rsidRPr="00101C4D" w:rsidRDefault="00690701">
            <w:pPr>
              <w:keepNext/>
              <w:jc w:val="left"/>
              <w:rPr>
                <w:color w:val="185980"/>
                <w:lang w:eastAsia="ko-KR"/>
              </w:rPr>
            </w:pPr>
            <w:r w:rsidRPr="411D2811">
              <w:rPr>
                <w:color w:val="185980"/>
              </w:rPr>
              <w:t>IE: UNDP, peer advisor: DWD Germany</w:t>
            </w:r>
          </w:p>
        </w:tc>
        <w:tc>
          <w:tcPr>
            <w:tcW w:w="15738" w:type="dxa"/>
          </w:tcPr>
          <w:p w14:paraId="2AA54D58" w14:textId="77777777" w:rsidR="00690701" w:rsidRPr="00CD48C9" w:rsidRDefault="00690701">
            <w:pPr>
              <w:rPr>
                <w:lang w:eastAsia="ko-KR"/>
              </w:rPr>
            </w:pPr>
            <w:r>
              <w:rPr>
                <w:lang w:eastAsia="ko-KR"/>
              </w:rPr>
              <w:t xml:space="preserve">Following the change of Implementing Entity to UNDP and the SOFF Steering Committee’s approval of the revised funding request through </w:t>
            </w:r>
            <w:hyperlink r:id="rId50" w:history="1">
              <w:r w:rsidRPr="0066305C">
                <w:rPr>
                  <w:rStyle w:val="Hyperlink"/>
                  <w:lang w:eastAsia="ko-KR"/>
                </w:rPr>
                <w:t>Decision 10.2.2</w:t>
              </w:r>
            </w:hyperlink>
            <w:r>
              <w:rPr>
                <w:lang w:eastAsia="ko-KR"/>
              </w:rPr>
              <w:t xml:space="preserve">, the high-level project launch was held on 16 April 2025. </w:t>
            </w:r>
          </w:p>
        </w:tc>
      </w:tr>
      <w:tr w:rsidR="00690701" w14:paraId="6339579A" w14:textId="77777777">
        <w:tc>
          <w:tcPr>
            <w:tcW w:w="2972" w:type="dxa"/>
            <w:shd w:val="clear" w:color="auto" w:fill="F2F2F2" w:themeFill="background1" w:themeFillShade="F2"/>
          </w:tcPr>
          <w:p w14:paraId="44DF6751" w14:textId="77777777" w:rsidR="00690701" w:rsidRPr="000C387F" w:rsidRDefault="00690701">
            <w:pPr>
              <w:keepNext/>
              <w:jc w:val="left"/>
              <w:rPr>
                <w:b/>
                <w:color w:val="008B85" w:themeColor="accent3"/>
              </w:rPr>
            </w:pPr>
            <w:r w:rsidRPr="000C387F">
              <w:rPr>
                <w:b/>
                <w:color w:val="008B85" w:themeColor="accent3"/>
              </w:rPr>
              <w:lastRenderedPageBreak/>
              <w:t>Maldives</w:t>
            </w:r>
          </w:p>
          <w:p w14:paraId="498B706F" w14:textId="77777777" w:rsidR="00690701" w:rsidRDefault="00690701">
            <w:pPr>
              <w:keepNext/>
              <w:jc w:val="left"/>
              <w:rPr>
                <w:color w:val="185980"/>
              </w:rPr>
            </w:pPr>
            <w:r w:rsidRPr="411D2811">
              <w:rPr>
                <w:color w:val="185980"/>
              </w:rPr>
              <w:t>IE: UNEP, peer advisor: FMI Finland</w:t>
            </w:r>
          </w:p>
          <w:p w14:paraId="05651C48" w14:textId="77777777" w:rsidR="00690701" w:rsidRDefault="00690701">
            <w:pPr>
              <w:keepNext/>
              <w:jc w:val="left"/>
              <w:rPr>
                <w:color w:val="185980"/>
                <w:lang w:val="en-US"/>
              </w:rPr>
            </w:pPr>
          </w:p>
          <w:p w14:paraId="5EEAE7F5" w14:textId="009FC870" w:rsidR="008B4F4B" w:rsidRDefault="008B4F4B" w:rsidP="008B4F4B">
            <w:pPr>
              <w:keepNext/>
              <w:jc w:val="left"/>
              <w:rPr>
                <w:lang w:val="en-US"/>
              </w:rPr>
            </w:pPr>
            <w:hyperlink r:id="rId51" w:history="1">
              <w:r w:rsidRPr="008E2885">
                <w:rPr>
                  <w:rStyle w:val="Hyperlink"/>
                  <w:lang w:val="en-US"/>
                </w:rPr>
                <w:t>Link to the s</w:t>
              </w:r>
              <w:r w:rsidRPr="008E2885">
                <w:rPr>
                  <w:rStyle w:val="Hyperlink"/>
                </w:rPr>
                <w:t>emi-</w:t>
              </w:r>
              <w:r w:rsidRPr="008E2885">
                <w:rPr>
                  <w:rStyle w:val="Hyperlink"/>
                  <w:lang w:val="en-US"/>
                </w:rPr>
                <w:t>annual report</w:t>
              </w:r>
              <w:r w:rsidRPr="008E2885">
                <w:rPr>
                  <w:rStyle w:val="Hyperlink"/>
                </w:rPr>
                <w:t xml:space="preserve"> </w:t>
              </w:r>
              <w:r w:rsidR="008E2885" w:rsidRPr="008E2885">
                <w:rPr>
                  <w:rStyle w:val="Hyperlink"/>
                </w:rPr>
                <w:t>IE</w:t>
              </w:r>
            </w:hyperlink>
          </w:p>
          <w:p w14:paraId="7E0016F3" w14:textId="77777777" w:rsidR="008E2885" w:rsidRPr="008E2885" w:rsidRDefault="008E2885" w:rsidP="008B4F4B">
            <w:pPr>
              <w:keepNext/>
              <w:jc w:val="left"/>
            </w:pPr>
          </w:p>
          <w:p w14:paraId="12FAB45A" w14:textId="6AF3CE1B" w:rsidR="00690701" w:rsidRPr="00101C4D" w:rsidRDefault="008B4F4B" w:rsidP="008B4F4B">
            <w:pPr>
              <w:keepNext/>
              <w:jc w:val="left"/>
              <w:rPr>
                <w:color w:val="185980"/>
              </w:rPr>
            </w:pPr>
            <w:hyperlink r:id="rId52" w:history="1">
              <w:r w:rsidRPr="004951D7">
                <w:rPr>
                  <w:rStyle w:val="Hyperlink"/>
                </w:rPr>
                <w:t>Link to the semi-annual report of the peer advisor</w:t>
              </w:r>
            </w:hyperlink>
          </w:p>
        </w:tc>
        <w:tc>
          <w:tcPr>
            <w:tcW w:w="15738" w:type="dxa"/>
          </w:tcPr>
          <w:p w14:paraId="625147B8" w14:textId="71FA6A0B" w:rsidR="00690701" w:rsidRPr="00CD48C9" w:rsidRDefault="000C387F">
            <w:pPr>
              <w:rPr>
                <w:lang w:eastAsia="ko-KR"/>
              </w:rPr>
            </w:pPr>
            <w:r w:rsidRPr="008B4F4B">
              <w:t xml:space="preserve">In addition to the </w:t>
            </w:r>
            <w:r>
              <w:t xml:space="preserve">updates </w:t>
            </w:r>
            <w:r w:rsidRPr="008B4F4B">
              <w:t xml:space="preserve">reported </w:t>
            </w:r>
            <w:r>
              <w:t xml:space="preserve">in </w:t>
            </w:r>
            <w:hyperlink r:id="rId53" w:history="1">
              <w:r w:rsidRPr="00F30EC6">
                <w:rPr>
                  <w:rStyle w:val="Hyperlink"/>
                  <w:lang w:eastAsia="ko-KR"/>
                </w:rPr>
                <w:t>INF 11.2 SOFF Portfolio and Implementation Progress</w:t>
              </w:r>
            </w:hyperlink>
            <w:r w:rsidRPr="008B4F4B">
              <w:t xml:space="preserve">, </w:t>
            </w:r>
            <w:r>
              <w:rPr>
                <w:lang w:eastAsia="ko-KR"/>
              </w:rPr>
              <w:t>t</w:t>
            </w:r>
            <w:r w:rsidR="00DB7208" w:rsidRPr="00DB7208">
              <w:rPr>
                <w:lang w:eastAsia="ko-KR"/>
              </w:rPr>
              <w:t>he inception workshop was successfully held on 3 June 2025, bringing together 43 stakeholders and inaugurating the Project Steering Committee, which formally endorsed its Terms of Reference and the Year 2–3 workplans jointly developed by MMS, UNEP, RIMES, and FMI. Regular coordination meetings among partners have continued, and recruitment is underway for five technical staff and three IT staff to support the planned surface observation station in Maafaru, alongside two PMU staff whose onboarding is expected in 2025 once legal approvals are finalized. Preparations are advancing for the procurement and rehabilitation of one new AWS and four existing AWS, with completion anticipated by the end of 2025, while planning for improved upper-air stations and procurement of spare sensors, radiosondes, and balloons is also underway. These efforts, combined with upcoming capacity-building sessions led by RIMES, position the project on track to strengthen GBON infrastructure. Challenges remain, however, in the delayed establishment of the PMU due to administrative procedures.</w:t>
            </w:r>
          </w:p>
        </w:tc>
      </w:tr>
      <w:tr w:rsidR="00690701" w14:paraId="779A1CB4" w14:textId="77777777">
        <w:tc>
          <w:tcPr>
            <w:tcW w:w="2972" w:type="dxa"/>
            <w:shd w:val="clear" w:color="auto" w:fill="F2F2F2" w:themeFill="background1" w:themeFillShade="F2"/>
          </w:tcPr>
          <w:p w14:paraId="29E28F28" w14:textId="77777777" w:rsidR="00690701" w:rsidRPr="00D6056B" w:rsidRDefault="00690701">
            <w:pPr>
              <w:keepNext/>
              <w:jc w:val="left"/>
              <w:rPr>
                <w:b/>
                <w:color w:val="008B85" w:themeColor="accent3"/>
              </w:rPr>
            </w:pPr>
            <w:r w:rsidRPr="00D6056B">
              <w:rPr>
                <w:b/>
                <w:color w:val="008B85" w:themeColor="accent3"/>
              </w:rPr>
              <w:t>Mozambique</w:t>
            </w:r>
          </w:p>
          <w:p w14:paraId="739AADB2" w14:textId="77777777" w:rsidR="00690701" w:rsidRDefault="00690701">
            <w:pPr>
              <w:keepNext/>
              <w:jc w:val="left"/>
              <w:rPr>
                <w:color w:val="185980"/>
              </w:rPr>
            </w:pPr>
            <w:r w:rsidRPr="411D2811">
              <w:rPr>
                <w:color w:val="185980"/>
              </w:rPr>
              <w:t>IE: WFP, peer advisor: South Africa</w:t>
            </w:r>
          </w:p>
          <w:p w14:paraId="10068066" w14:textId="77777777" w:rsidR="00690701" w:rsidRDefault="00690701">
            <w:pPr>
              <w:keepNext/>
              <w:jc w:val="left"/>
              <w:rPr>
                <w:color w:val="185980"/>
                <w:lang w:val="en-US"/>
              </w:rPr>
            </w:pPr>
          </w:p>
          <w:p w14:paraId="21420BE3" w14:textId="432BFD09" w:rsidR="008B4F4B" w:rsidRPr="002D2ABA" w:rsidRDefault="008B4F4B" w:rsidP="008B4F4B">
            <w:pPr>
              <w:keepNext/>
              <w:jc w:val="left"/>
            </w:pPr>
            <w:hyperlink r:id="rId54" w:history="1">
              <w:r w:rsidRPr="002D2ABA">
                <w:rPr>
                  <w:rStyle w:val="Hyperlink"/>
                  <w:lang w:val="en-US"/>
                </w:rPr>
                <w:t>Link to the s</w:t>
              </w:r>
              <w:r w:rsidRPr="002D2ABA">
                <w:rPr>
                  <w:rStyle w:val="Hyperlink"/>
                </w:rPr>
                <w:t>emi-</w:t>
              </w:r>
              <w:r w:rsidRPr="002D2ABA">
                <w:rPr>
                  <w:rStyle w:val="Hyperlink"/>
                  <w:lang w:val="en-US"/>
                </w:rPr>
                <w:t>annual report</w:t>
              </w:r>
              <w:r w:rsidRPr="002D2ABA">
                <w:rPr>
                  <w:rStyle w:val="Hyperlink"/>
                </w:rPr>
                <w:t xml:space="preserve"> </w:t>
              </w:r>
              <w:r w:rsidR="002D2ABA" w:rsidRPr="002D2ABA">
                <w:rPr>
                  <w:rStyle w:val="Hyperlink"/>
                </w:rPr>
                <w:t>IE</w:t>
              </w:r>
            </w:hyperlink>
          </w:p>
          <w:p w14:paraId="647890E9" w14:textId="762E56C0" w:rsidR="00690701" w:rsidRPr="00101C4D" w:rsidRDefault="008B4F4B" w:rsidP="008B4F4B">
            <w:pPr>
              <w:keepNext/>
              <w:jc w:val="left"/>
              <w:rPr>
                <w:color w:val="185980"/>
              </w:rPr>
            </w:pPr>
            <w:hyperlink r:id="rId55" w:history="1">
              <w:r w:rsidRPr="0008249D">
                <w:rPr>
                  <w:rStyle w:val="Hyperlink"/>
                </w:rPr>
                <w:t>Link to the semi-annual report of the peer advisor</w:t>
              </w:r>
            </w:hyperlink>
          </w:p>
        </w:tc>
        <w:tc>
          <w:tcPr>
            <w:tcW w:w="15738" w:type="dxa"/>
          </w:tcPr>
          <w:p w14:paraId="782B1AA0" w14:textId="1002FFAA" w:rsidR="00D6056B" w:rsidRDefault="00D6056B" w:rsidP="00D6056B">
            <w:r w:rsidRPr="008B4F4B">
              <w:t xml:space="preserve">In addition to the </w:t>
            </w:r>
            <w:r>
              <w:t xml:space="preserve">updates </w:t>
            </w:r>
            <w:r w:rsidRPr="008B4F4B">
              <w:t xml:space="preserve">reported </w:t>
            </w:r>
            <w:r>
              <w:t xml:space="preserve">in </w:t>
            </w:r>
            <w:hyperlink r:id="rId56" w:history="1">
              <w:r w:rsidRPr="00F30EC6">
                <w:rPr>
                  <w:rStyle w:val="Hyperlink"/>
                  <w:lang w:eastAsia="ko-KR"/>
                </w:rPr>
                <w:t>INF 11.2 SOFF Portfolio and Implementation Progress</w:t>
              </w:r>
            </w:hyperlink>
            <w:r w:rsidRPr="008B4F4B">
              <w:t xml:space="preserve">, </w:t>
            </w:r>
            <w:r w:rsidRPr="00D6056B">
              <w:t xml:space="preserve">temporary delays were noted due to civil unrest following the October 2024 presidential elections. These disruptions affected operations until January 2025, with field activities resuming in February and March 2025. </w:t>
            </w:r>
          </w:p>
          <w:p w14:paraId="40B1947B" w14:textId="24905300" w:rsidR="00690701" w:rsidRPr="00D6056B" w:rsidRDefault="00D6056B">
            <w:pPr>
              <w:rPr>
                <w:lang w:eastAsia="ko-KR"/>
              </w:rPr>
            </w:pPr>
            <w:r w:rsidRPr="00D6056B">
              <w:rPr>
                <w:lang w:eastAsia="ko-KR"/>
              </w:rPr>
              <w:t>Comprehensive assessments of Automatic Weather Stations (AWS) were finalized during this reporting period. These assessments provided a detailed understanding of infrastructure gaps and informed the development of Terms of Reference (ToRs) for the next phase.</w:t>
            </w:r>
            <w:r>
              <w:rPr>
                <w:lang w:eastAsia="ko-KR"/>
              </w:rPr>
              <w:t xml:space="preserve"> </w:t>
            </w:r>
            <w:r w:rsidRPr="00D6056B">
              <w:rPr>
                <w:lang w:eastAsia="ko-KR"/>
              </w:rPr>
              <w:t>Based on the AWS assessments, procurement processes for equipment and services are now underway. As part of the infrastructure setup, the WisBox has been successfully installed. The next step will involve the installation and configuration of the central server to support data transmission and storage.</w:t>
            </w:r>
          </w:p>
        </w:tc>
      </w:tr>
      <w:tr w:rsidR="00690701" w14:paraId="6B16E5B3" w14:textId="77777777">
        <w:tc>
          <w:tcPr>
            <w:tcW w:w="2972" w:type="dxa"/>
            <w:shd w:val="clear" w:color="auto" w:fill="F2F2F2" w:themeFill="background1" w:themeFillShade="F2"/>
          </w:tcPr>
          <w:p w14:paraId="6E4C266A" w14:textId="77777777" w:rsidR="00690701" w:rsidRPr="00EA5EB8" w:rsidRDefault="00690701">
            <w:pPr>
              <w:keepNext/>
              <w:jc w:val="left"/>
              <w:rPr>
                <w:b/>
                <w:color w:val="008B85" w:themeColor="accent3"/>
              </w:rPr>
            </w:pPr>
            <w:r w:rsidRPr="00EA5EB8">
              <w:rPr>
                <w:b/>
                <w:color w:val="008B85" w:themeColor="accent3"/>
              </w:rPr>
              <w:lastRenderedPageBreak/>
              <w:t xml:space="preserve">Rwanda </w:t>
            </w:r>
          </w:p>
          <w:p w14:paraId="7A6AA89D" w14:textId="77777777" w:rsidR="00690701" w:rsidRDefault="00690701">
            <w:pPr>
              <w:keepNext/>
              <w:jc w:val="left"/>
              <w:rPr>
                <w:color w:val="185980"/>
              </w:rPr>
            </w:pPr>
            <w:r w:rsidRPr="411D2811">
              <w:rPr>
                <w:color w:val="185980"/>
              </w:rPr>
              <w:t>IE: UNDP, peer advisor: FMI Finland</w:t>
            </w:r>
          </w:p>
          <w:p w14:paraId="68D395D4" w14:textId="77777777" w:rsidR="00690701" w:rsidRDefault="00690701">
            <w:pPr>
              <w:keepNext/>
              <w:jc w:val="left"/>
              <w:rPr>
                <w:color w:val="185980"/>
                <w:lang w:val="en-US"/>
              </w:rPr>
            </w:pPr>
          </w:p>
          <w:p w14:paraId="0C876429" w14:textId="450D4367" w:rsidR="008B4F4B" w:rsidRPr="00A17AE1" w:rsidRDefault="008B4F4B" w:rsidP="008B4F4B">
            <w:pPr>
              <w:keepNext/>
              <w:jc w:val="left"/>
            </w:pPr>
            <w:hyperlink r:id="rId57" w:history="1">
              <w:r w:rsidRPr="00A17AE1">
                <w:rPr>
                  <w:rStyle w:val="Hyperlink"/>
                  <w:lang w:val="en-US"/>
                </w:rPr>
                <w:t>Link to the s</w:t>
              </w:r>
              <w:r w:rsidRPr="00A17AE1">
                <w:rPr>
                  <w:rStyle w:val="Hyperlink"/>
                </w:rPr>
                <w:t>emi-</w:t>
              </w:r>
              <w:r w:rsidRPr="00A17AE1">
                <w:rPr>
                  <w:rStyle w:val="Hyperlink"/>
                  <w:lang w:val="en-US"/>
                </w:rPr>
                <w:t>annual report</w:t>
              </w:r>
              <w:r w:rsidRPr="00A17AE1">
                <w:rPr>
                  <w:rStyle w:val="Hyperlink"/>
                </w:rPr>
                <w:t xml:space="preserve"> </w:t>
              </w:r>
              <w:r w:rsidR="00A17AE1" w:rsidRPr="00A17AE1">
                <w:rPr>
                  <w:rStyle w:val="Hyperlink"/>
                </w:rPr>
                <w:t>IE</w:t>
              </w:r>
            </w:hyperlink>
          </w:p>
          <w:p w14:paraId="1827DD87" w14:textId="41B279EC" w:rsidR="00690701" w:rsidRPr="00101C4D" w:rsidRDefault="008B4F4B" w:rsidP="008B4F4B">
            <w:pPr>
              <w:keepNext/>
              <w:jc w:val="left"/>
              <w:rPr>
                <w:color w:val="185980"/>
              </w:rPr>
            </w:pPr>
            <w:hyperlink r:id="rId58" w:history="1">
              <w:r w:rsidRPr="00A30AAD">
                <w:rPr>
                  <w:rStyle w:val="Hyperlink"/>
                </w:rPr>
                <w:t>Link to the semi-annual report of the peer advisor</w:t>
              </w:r>
            </w:hyperlink>
          </w:p>
        </w:tc>
        <w:tc>
          <w:tcPr>
            <w:tcW w:w="15738" w:type="dxa"/>
          </w:tcPr>
          <w:p w14:paraId="08A6339E" w14:textId="1932779C" w:rsidR="00690701" w:rsidRPr="00EA5EB8" w:rsidRDefault="00EA5EB8">
            <w:pPr>
              <w:rPr>
                <w:lang w:eastAsia="ko-KR"/>
              </w:rPr>
            </w:pPr>
            <w:r w:rsidRPr="00EA5EB8">
              <w:rPr>
                <w:lang w:eastAsia="ko-KR"/>
              </w:rPr>
              <w:t xml:space="preserve">In addition to the milestones reported </w:t>
            </w:r>
            <w:r>
              <w:rPr>
                <w:lang w:eastAsia="ko-KR"/>
              </w:rPr>
              <w:t xml:space="preserve">in </w:t>
            </w:r>
            <w:hyperlink r:id="rId59" w:history="1">
              <w:r w:rsidRPr="00F30EC6">
                <w:rPr>
                  <w:rStyle w:val="Hyperlink"/>
                  <w:lang w:eastAsia="ko-KR"/>
                </w:rPr>
                <w:t>INF 11.2 SOFF Portfolio and Implementation Progress</w:t>
              </w:r>
            </w:hyperlink>
            <w:r w:rsidRPr="008B4F4B">
              <w:t>,</w:t>
            </w:r>
            <w:r>
              <w:t xml:space="preserve"> </w:t>
            </w:r>
            <w:r w:rsidRPr="00EA5EB8">
              <w:rPr>
                <w:lang w:eastAsia="ko-KR"/>
              </w:rPr>
              <w:t>the SOFF project in Rwanda made substantial progress. A multi-sector project committee meeting was convened to review implementation progress and clarify stakeholder roles, strengthening national ownership and coordination. METEO Rwanda staff received hands-on technical training, equipping 13 personnel with practical skills in station setup, software configuration, and data quality assurance. Infrastructure upgrades were completed at three land-based stations—Rubengera, Nyagatare, and Kazo—bringing them into full compliance with GBON standards and enabling real-time data exchange via WIS2. Preparatory work for the upper-air station advanced with expert field visits, finalized site designs, and shipment of equipment, expected to arrive by end of August. These developments mark a transition from planning to operational readiness and reinforce Rwanda’s capacity to contribute to global climate data systems.</w:t>
            </w:r>
            <w:r w:rsidRPr="00EA5EB8">
              <w:rPr>
                <w:rFonts w:ascii="Segoe UI" w:hAnsi="Segoe UI" w:cs="Segoe UI"/>
                <w:color w:val="424242"/>
                <w:sz w:val="21"/>
                <w:szCs w:val="21"/>
                <w:shd w:val="clear" w:color="auto" w:fill="FAFAFA"/>
              </w:rPr>
              <w:t xml:space="preserve"> </w:t>
            </w:r>
            <w:r w:rsidRPr="00EA5EB8">
              <w:rPr>
                <w:lang w:eastAsia="ko-KR"/>
              </w:rPr>
              <w:t>Although the site designs and Bills of Quantities have been finalized, physical site preparation has not yet commenced</w:t>
            </w:r>
            <w:r>
              <w:rPr>
                <w:lang w:eastAsia="ko-KR"/>
              </w:rPr>
              <w:t xml:space="preserve"> and delays are expected.</w:t>
            </w:r>
          </w:p>
        </w:tc>
      </w:tr>
      <w:tr w:rsidR="00690701" w14:paraId="10865052" w14:textId="77777777">
        <w:tc>
          <w:tcPr>
            <w:tcW w:w="2972" w:type="dxa"/>
            <w:shd w:val="clear" w:color="auto" w:fill="F2F2F2" w:themeFill="background1" w:themeFillShade="F2"/>
          </w:tcPr>
          <w:p w14:paraId="6876F1CC" w14:textId="77777777" w:rsidR="00690701" w:rsidRPr="00EA5EB8" w:rsidRDefault="00690701">
            <w:pPr>
              <w:keepNext/>
              <w:jc w:val="left"/>
              <w:rPr>
                <w:b/>
                <w:color w:val="008B85" w:themeColor="accent3"/>
              </w:rPr>
            </w:pPr>
            <w:bookmarkStart w:id="39" w:name="_Hlk208598255"/>
            <w:r w:rsidRPr="00EA5EB8">
              <w:rPr>
                <w:b/>
                <w:color w:val="008B85" w:themeColor="accent3"/>
              </w:rPr>
              <w:lastRenderedPageBreak/>
              <w:t xml:space="preserve">Solomon Islands </w:t>
            </w:r>
          </w:p>
          <w:p w14:paraId="3626FCFF" w14:textId="77777777" w:rsidR="00690701" w:rsidRDefault="00690701">
            <w:pPr>
              <w:keepNext/>
              <w:jc w:val="left"/>
              <w:rPr>
                <w:color w:val="185980"/>
              </w:rPr>
            </w:pPr>
            <w:r w:rsidRPr="411D2811">
              <w:rPr>
                <w:color w:val="185980"/>
              </w:rPr>
              <w:t>IE: UNDP, peer advisor: BOM Australia</w:t>
            </w:r>
          </w:p>
          <w:p w14:paraId="10C48CF8" w14:textId="77777777" w:rsidR="00690701" w:rsidRDefault="00690701">
            <w:pPr>
              <w:keepNext/>
              <w:jc w:val="left"/>
              <w:rPr>
                <w:color w:val="185980"/>
                <w:lang w:val="en-US"/>
              </w:rPr>
            </w:pPr>
          </w:p>
          <w:p w14:paraId="12DCAE0E" w14:textId="758C5385" w:rsidR="008B4F4B" w:rsidRPr="00D84B41" w:rsidRDefault="008B4F4B" w:rsidP="008B4F4B">
            <w:pPr>
              <w:keepNext/>
              <w:jc w:val="left"/>
            </w:pPr>
            <w:hyperlink r:id="rId60" w:history="1">
              <w:r w:rsidRPr="00D84B41">
                <w:rPr>
                  <w:rStyle w:val="Hyperlink"/>
                  <w:lang w:val="en-US"/>
                </w:rPr>
                <w:t>Link to the s</w:t>
              </w:r>
              <w:r w:rsidRPr="00D84B41">
                <w:rPr>
                  <w:rStyle w:val="Hyperlink"/>
                </w:rPr>
                <w:t>emi-</w:t>
              </w:r>
              <w:r w:rsidRPr="00D84B41">
                <w:rPr>
                  <w:rStyle w:val="Hyperlink"/>
                  <w:lang w:val="en-US"/>
                </w:rPr>
                <w:t>annual report</w:t>
              </w:r>
              <w:r w:rsidRPr="00D84B41">
                <w:rPr>
                  <w:rStyle w:val="Hyperlink"/>
                </w:rPr>
                <w:t xml:space="preserve"> </w:t>
              </w:r>
              <w:r w:rsidR="00D84B41" w:rsidRPr="00D84B41">
                <w:rPr>
                  <w:rStyle w:val="Hyperlink"/>
                </w:rPr>
                <w:t>IE</w:t>
              </w:r>
            </w:hyperlink>
          </w:p>
          <w:p w14:paraId="5F60C0C3" w14:textId="18810A9E" w:rsidR="00690701" w:rsidRPr="00101C4D" w:rsidRDefault="00690701" w:rsidP="008B4F4B">
            <w:pPr>
              <w:keepNext/>
              <w:jc w:val="left"/>
              <w:rPr>
                <w:color w:val="185980"/>
              </w:rPr>
            </w:pPr>
          </w:p>
        </w:tc>
        <w:tc>
          <w:tcPr>
            <w:tcW w:w="15738" w:type="dxa"/>
          </w:tcPr>
          <w:p w14:paraId="0502D1C5" w14:textId="0389D274" w:rsidR="009B1375" w:rsidRPr="009B1375" w:rsidRDefault="009B1375" w:rsidP="009B1375">
            <w:pPr>
              <w:rPr>
                <w:lang w:eastAsia="ko-KR"/>
              </w:rPr>
            </w:pPr>
            <w:r w:rsidRPr="009B1375">
              <w:rPr>
                <w:lang w:eastAsia="ko-KR"/>
              </w:rPr>
              <w:t xml:space="preserve">Building on the foundational work reported in </w:t>
            </w:r>
            <w:hyperlink r:id="rId61" w:history="1">
              <w:r w:rsidRPr="00F30EC6">
                <w:rPr>
                  <w:rStyle w:val="Hyperlink"/>
                  <w:lang w:eastAsia="ko-KR"/>
                </w:rPr>
                <w:t>INF 11.2 SOFF Portfolio and Implementation Progress</w:t>
              </w:r>
            </w:hyperlink>
            <w:r>
              <w:rPr>
                <w:lang w:eastAsia="ko-KR"/>
              </w:rPr>
              <w:t xml:space="preserve">, </w:t>
            </w:r>
            <w:r w:rsidRPr="009B1375">
              <w:rPr>
                <w:lang w:eastAsia="ko-KR"/>
              </w:rPr>
              <w:t>including the Local Project Appraisal Committee meeting, recruitment of the Project Management Unit (PMU), and preparation of the annual work plan</w:t>
            </w:r>
            <w:r>
              <w:rPr>
                <w:lang w:eastAsia="ko-KR"/>
              </w:rPr>
              <w:t xml:space="preserve">, </w:t>
            </w:r>
            <w:r w:rsidRPr="009B1375">
              <w:rPr>
                <w:lang w:eastAsia="ko-KR"/>
              </w:rPr>
              <w:t>the SOFF project in the Solomon Islands has transitioned into active implementation. The national inception workshop, held in May 2025 in Honiara, marked a key milestone. Organized by UNDP and the Solomon Islands Meteorological Service (SIMS), and chaired by the Permanent Secretary of MECDM, the workshop brought together 40 participants, including Provincial Secretaries from Taro, Tulagi, Lata, and Makira. The event introduced the SOFF implementation timeline, shared findings from the Readiness Phase, and secured early provincial support for construction plans.</w:t>
            </w:r>
          </w:p>
          <w:p w14:paraId="5836249E" w14:textId="77777777" w:rsidR="009B1375" w:rsidRPr="009B1375" w:rsidRDefault="009B1375" w:rsidP="009B1375">
            <w:pPr>
              <w:rPr>
                <w:lang w:eastAsia="ko-KR"/>
              </w:rPr>
            </w:pPr>
            <w:r w:rsidRPr="009B1375">
              <w:rPr>
                <w:lang w:eastAsia="ko-KR"/>
              </w:rPr>
              <w:t>In June, UNDP, SIMS, and representatives from the Ministries of Lands and Infrastructure conducted provincial visits to Taro, Munda, Auki, and Tulagi. These missions aimed to secure provincial endorsements for land transfers to SIMS for upper-air station sites and to conduct a stocktake of existing manual observation equipment. Tulagi and Taro authorities approved the land transfers, which are now pending national-level approval. The equipment stocktake will be completed in August following additional visits to Lata, Kira Kira, Tinggoa, and Guadalcanal sites.</w:t>
            </w:r>
          </w:p>
          <w:p w14:paraId="3027A820" w14:textId="13AE2A84" w:rsidR="009B1375" w:rsidRPr="009B1375" w:rsidRDefault="009B1375" w:rsidP="009B1375">
            <w:pPr>
              <w:rPr>
                <w:lang w:eastAsia="ko-KR"/>
              </w:rPr>
            </w:pPr>
            <w:r w:rsidRPr="009B1375">
              <w:rPr>
                <w:lang w:eastAsia="ko-KR"/>
              </w:rPr>
              <w:t>Human capacity development also advanced during the reporting period. SIMS recruited 10 new weather observers to be stationed across the country. In collaboration with UNDP, a specialized training program was designed for delivery in 2025. This marks the beginning of structured efforts to build the operational capacity required for GBON compliance.</w:t>
            </w:r>
          </w:p>
          <w:p w14:paraId="4BFEFEEB" w14:textId="1D436A98" w:rsidR="00690701" w:rsidRPr="009B1375" w:rsidRDefault="009B1375" w:rsidP="009B1375">
            <w:pPr>
              <w:rPr>
                <w:lang w:eastAsia="ko-KR"/>
              </w:rPr>
            </w:pPr>
            <w:r w:rsidRPr="009B1375">
              <w:rPr>
                <w:lang w:eastAsia="ko-KR"/>
              </w:rPr>
              <w:t>Preparatory work for infrastructure development has also begun. UNDP initiated site-specific environmental impact assessments (EIA), unexploded ordnance (UXO) risk assessments, and the development of a comprehensive tender dossier for upper-air sites in Taro, Tulagi, and Lata, as well as the staff station in Kira Kira. The dossier includes geo-technical surveys, architectural and engineering designs, and bills of quantities, laying the groundwork for procurement and construction activities scheduled for Q4 2025.</w:t>
            </w:r>
          </w:p>
        </w:tc>
      </w:tr>
      <w:bookmarkEnd w:id="39"/>
      <w:tr w:rsidR="00690701" w14:paraId="49BA4E9B" w14:textId="77777777">
        <w:tc>
          <w:tcPr>
            <w:tcW w:w="2972" w:type="dxa"/>
            <w:shd w:val="clear" w:color="auto" w:fill="F2F2F2" w:themeFill="background1" w:themeFillShade="F2"/>
          </w:tcPr>
          <w:p w14:paraId="0BC41031" w14:textId="77777777" w:rsidR="00690701" w:rsidRPr="009B1375" w:rsidRDefault="00690701">
            <w:pPr>
              <w:keepNext/>
              <w:jc w:val="left"/>
              <w:rPr>
                <w:b/>
                <w:color w:val="008B85" w:themeColor="accent3"/>
              </w:rPr>
            </w:pPr>
            <w:r w:rsidRPr="009B1375">
              <w:rPr>
                <w:b/>
                <w:color w:val="008B85" w:themeColor="accent3"/>
              </w:rPr>
              <w:lastRenderedPageBreak/>
              <w:t xml:space="preserve">South Sudan </w:t>
            </w:r>
          </w:p>
          <w:p w14:paraId="7BADD654" w14:textId="77777777" w:rsidR="00690701" w:rsidRPr="00101C4D" w:rsidRDefault="00690701">
            <w:pPr>
              <w:keepNext/>
              <w:jc w:val="left"/>
              <w:rPr>
                <w:color w:val="185980"/>
              </w:rPr>
            </w:pPr>
            <w:r w:rsidRPr="411D2811">
              <w:rPr>
                <w:color w:val="185980"/>
              </w:rPr>
              <w:t>IE: to be changed to FAO, peer advisor: Geosphere Austria</w:t>
            </w:r>
          </w:p>
        </w:tc>
        <w:tc>
          <w:tcPr>
            <w:tcW w:w="15738" w:type="dxa"/>
          </w:tcPr>
          <w:p w14:paraId="57044D00" w14:textId="77777777" w:rsidR="00690701" w:rsidRPr="005508CF" w:rsidRDefault="00690701">
            <w:pPr>
              <w:rPr>
                <w:color w:val="000000" w:themeColor="text1"/>
                <w:lang w:eastAsia="ko-KR"/>
              </w:rPr>
            </w:pPr>
            <w:r w:rsidRPr="005508CF">
              <w:rPr>
                <w:color w:val="000000" w:themeColor="text1"/>
                <w:lang w:eastAsia="ko-KR"/>
              </w:rPr>
              <w:t xml:space="preserve">Implementation of Investment activities is yet to start as the country requested a change </w:t>
            </w:r>
            <w:r>
              <w:rPr>
                <w:rFonts w:hint="eastAsia"/>
                <w:color w:val="000000" w:themeColor="text1"/>
                <w:lang w:eastAsia="ko-KR"/>
              </w:rPr>
              <w:t>of IE</w:t>
            </w:r>
            <w:r w:rsidRPr="005508CF">
              <w:rPr>
                <w:color w:val="000000" w:themeColor="text1"/>
                <w:lang w:eastAsia="ko-KR"/>
              </w:rPr>
              <w:t xml:space="preserve"> following </w:t>
            </w:r>
            <w:hyperlink r:id="rId62" w:history="1">
              <w:r w:rsidRPr="000254FF">
                <w:rPr>
                  <w:rStyle w:val="Hyperlink"/>
                  <w:lang w:eastAsia="ko-KR"/>
                </w:rPr>
                <w:t>Decision 9.7</w:t>
              </w:r>
            </w:hyperlink>
            <w:r w:rsidRPr="005508CF">
              <w:rPr>
                <w:color w:val="000000" w:themeColor="text1"/>
                <w:lang w:eastAsia="ko-KR"/>
              </w:rPr>
              <w:t xml:space="preserve">. </w:t>
            </w:r>
            <w:r>
              <w:rPr>
                <w:color w:val="000000" w:themeColor="text1"/>
                <w:lang w:eastAsia="ko-KR"/>
              </w:rPr>
              <w:t>With the inclusion of FAO as a SOFF Implementing Entity, a revised Investment funding request for South Sudan will be submitted for SOFF Secretariat’s review and SOFF Steering Committee’s decision.</w:t>
            </w:r>
          </w:p>
          <w:p w14:paraId="5B0AD5D6" w14:textId="77777777" w:rsidR="00690701" w:rsidRDefault="00690701">
            <w:pPr>
              <w:rPr>
                <w:lang w:eastAsia="ko-KR"/>
              </w:rPr>
            </w:pPr>
          </w:p>
        </w:tc>
      </w:tr>
      <w:tr w:rsidR="00690701" w14:paraId="400F99EA" w14:textId="77777777">
        <w:tc>
          <w:tcPr>
            <w:tcW w:w="2972" w:type="dxa"/>
            <w:shd w:val="clear" w:color="auto" w:fill="F2F2F2" w:themeFill="background1" w:themeFillShade="F2"/>
          </w:tcPr>
          <w:p w14:paraId="0B665E50" w14:textId="77777777" w:rsidR="00690701" w:rsidRPr="009B1375" w:rsidRDefault="00690701">
            <w:pPr>
              <w:keepNext/>
              <w:jc w:val="left"/>
              <w:rPr>
                <w:b/>
                <w:color w:val="008B85" w:themeColor="accent3"/>
              </w:rPr>
            </w:pPr>
            <w:r w:rsidRPr="009B1375">
              <w:rPr>
                <w:b/>
                <w:color w:val="008B85" w:themeColor="accent3"/>
              </w:rPr>
              <w:t xml:space="preserve">United Republic of Tanzania </w:t>
            </w:r>
          </w:p>
          <w:p w14:paraId="713CD9E8" w14:textId="77777777" w:rsidR="00690701" w:rsidRDefault="00690701">
            <w:pPr>
              <w:keepNext/>
              <w:jc w:val="left"/>
              <w:rPr>
                <w:color w:val="185980"/>
              </w:rPr>
            </w:pPr>
            <w:r w:rsidRPr="411D2811">
              <w:rPr>
                <w:color w:val="185980"/>
              </w:rPr>
              <w:t>IE: UNDP, peer advisor: DMI Denmark</w:t>
            </w:r>
          </w:p>
          <w:p w14:paraId="468097FC" w14:textId="77777777" w:rsidR="00690701" w:rsidRDefault="00690701">
            <w:pPr>
              <w:keepNext/>
              <w:jc w:val="left"/>
              <w:rPr>
                <w:color w:val="185980"/>
                <w:lang w:val="en-US"/>
              </w:rPr>
            </w:pPr>
          </w:p>
          <w:p w14:paraId="286718DF" w14:textId="17527FF6" w:rsidR="008B4F4B" w:rsidRPr="006E46DC" w:rsidRDefault="008B4F4B" w:rsidP="008B4F4B">
            <w:pPr>
              <w:keepNext/>
              <w:jc w:val="left"/>
            </w:pPr>
            <w:hyperlink r:id="rId63" w:history="1">
              <w:r w:rsidRPr="007F4DC8">
                <w:rPr>
                  <w:rStyle w:val="Hyperlink"/>
                  <w:lang w:val="en-US"/>
                </w:rPr>
                <w:t>Link to the s</w:t>
              </w:r>
              <w:r w:rsidRPr="007F4DC8">
                <w:rPr>
                  <w:rStyle w:val="Hyperlink"/>
                </w:rPr>
                <w:t>emi-</w:t>
              </w:r>
              <w:r w:rsidRPr="007F4DC8">
                <w:rPr>
                  <w:rStyle w:val="Hyperlink"/>
                  <w:lang w:val="en-US"/>
                </w:rPr>
                <w:t>annual report</w:t>
              </w:r>
              <w:r w:rsidRPr="007F4DC8">
                <w:rPr>
                  <w:rStyle w:val="Hyperlink"/>
                </w:rPr>
                <w:t xml:space="preserve"> </w:t>
              </w:r>
              <w:r w:rsidR="005D5F77" w:rsidRPr="007F4DC8">
                <w:rPr>
                  <w:rStyle w:val="Hyperlink"/>
                </w:rPr>
                <w:t>IE</w:t>
              </w:r>
            </w:hyperlink>
          </w:p>
          <w:p w14:paraId="4E537E61" w14:textId="3CB21FF7" w:rsidR="00690701" w:rsidRPr="00101C4D" w:rsidRDefault="00690701" w:rsidP="008B4F4B">
            <w:pPr>
              <w:keepNext/>
              <w:jc w:val="left"/>
              <w:rPr>
                <w:color w:val="185980"/>
              </w:rPr>
            </w:pPr>
          </w:p>
        </w:tc>
        <w:tc>
          <w:tcPr>
            <w:tcW w:w="15738" w:type="dxa"/>
          </w:tcPr>
          <w:p w14:paraId="6F8B108B" w14:textId="19E8F53E" w:rsidR="00E92BEE" w:rsidRPr="00E92BEE" w:rsidRDefault="009B1375" w:rsidP="00E92BEE">
            <w:pPr>
              <w:rPr>
                <w:lang w:eastAsia="ko-KR"/>
              </w:rPr>
            </w:pPr>
            <w:r w:rsidRPr="009B1375">
              <w:rPr>
                <w:lang w:eastAsia="ko-KR"/>
              </w:rPr>
              <w:t xml:space="preserve">Building on the foundational work reported in </w:t>
            </w:r>
            <w:hyperlink r:id="rId64" w:history="1">
              <w:r w:rsidRPr="00F30EC6">
                <w:rPr>
                  <w:rStyle w:val="Hyperlink"/>
                  <w:lang w:eastAsia="ko-KR"/>
                </w:rPr>
                <w:t>INF 11.2 SOFF Portfolio and Implementation Progress</w:t>
              </w:r>
            </w:hyperlink>
            <w:r w:rsidR="00E92BEE">
              <w:rPr>
                <w:lang w:eastAsia="ko-KR"/>
              </w:rPr>
              <w:t xml:space="preserve">, as the </w:t>
            </w:r>
            <w:r w:rsidR="00E92BEE" w:rsidRPr="00E92BEE">
              <w:rPr>
                <w:lang w:eastAsia="ko-KR"/>
              </w:rPr>
              <w:t xml:space="preserve">project official launched on 21 January 2025 through a high-level national event officiated by the Hon. Prime Minister Kassim Majaliwa. </w:t>
            </w:r>
          </w:p>
          <w:p w14:paraId="28AD3270" w14:textId="19151901" w:rsidR="00E92BEE" w:rsidRPr="00E92BEE" w:rsidRDefault="00E92BEE" w:rsidP="00E92BEE">
            <w:pPr>
              <w:rPr>
                <w:lang w:eastAsia="ko-KR"/>
              </w:rPr>
            </w:pPr>
            <w:r w:rsidRPr="00E92BEE">
              <w:rPr>
                <w:lang w:eastAsia="ko-KR"/>
              </w:rPr>
              <w:t xml:space="preserve">Under Outcome 1, a key highlight was the technical familiarization visit to Denmark, conducted from 20–30 June 2025. A delegation from Tanzania engaged with the Danish Meteorological Institute to exchange knowledge and explore strategies for sustaining project outcomes. </w:t>
            </w:r>
          </w:p>
          <w:p w14:paraId="1774B42D" w14:textId="7E3064D7" w:rsidR="00E92BEE" w:rsidRPr="00E92BEE" w:rsidRDefault="00E92BEE" w:rsidP="00E92BEE">
            <w:pPr>
              <w:rPr>
                <w:lang w:eastAsia="ko-KR"/>
              </w:rPr>
            </w:pPr>
            <w:r w:rsidRPr="00E92BEE">
              <w:rPr>
                <w:lang w:eastAsia="ko-KR"/>
              </w:rPr>
              <w:t>Substantial progress was also made under Outcome 2. Environmental Impact Assessments (EIAs) for the construction of new upper-air stations reached an advanced stage, in compliance with the Environmental Management Act (2004). Civil works for upper-air station buildings at three selected sites are nearing completion, and detailed utility service designs</w:t>
            </w:r>
            <w:r>
              <w:rPr>
                <w:lang w:eastAsia="ko-KR"/>
              </w:rPr>
              <w:t xml:space="preserve">, </w:t>
            </w:r>
            <w:r w:rsidRPr="00E92BEE">
              <w:rPr>
                <w:lang w:eastAsia="ko-KR"/>
              </w:rPr>
              <w:t>including water and electrical installations</w:t>
            </w:r>
            <w:r>
              <w:rPr>
                <w:lang w:eastAsia="ko-KR"/>
              </w:rPr>
              <w:t xml:space="preserve">, </w:t>
            </w:r>
            <w:r w:rsidRPr="00E92BEE">
              <w:rPr>
                <w:lang w:eastAsia="ko-KR"/>
              </w:rPr>
              <w:t>have been finalized. Technical specifications for both surface and upper-air GBON stations were completed, guiding procurement and implementation activities.</w:t>
            </w:r>
          </w:p>
          <w:p w14:paraId="794DFDD4" w14:textId="34B7E084" w:rsidR="00E92BEE" w:rsidRPr="00E92BEE" w:rsidRDefault="00E92BEE" w:rsidP="00E92BEE">
            <w:pPr>
              <w:rPr>
                <w:lang w:eastAsia="ko-KR"/>
              </w:rPr>
            </w:pPr>
            <w:r w:rsidRPr="00E92BEE">
              <w:rPr>
                <w:lang w:eastAsia="ko-KR"/>
              </w:rPr>
              <w:t>Safety gear and work tools for land-based stations have been procured, and internal procedures for distribution are underway. Evaluation of bids for data systems has been completed, with a Purchase Order expected in early August 2025. Similarly, tenders for upgrading seven land-based stations have been evaluated, and procurement of five operational vehicles has been finalized, with branding and customization in progress ahead of handover to TMA.</w:t>
            </w:r>
          </w:p>
        </w:tc>
      </w:tr>
      <w:tr w:rsidR="00690701" w14:paraId="5AF6156B" w14:textId="77777777">
        <w:tc>
          <w:tcPr>
            <w:tcW w:w="2972" w:type="dxa"/>
            <w:shd w:val="clear" w:color="auto" w:fill="F2F2F2" w:themeFill="background1" w:themeFillShade="F2"/>
          </w:tcPr>
          <w:p w14:paraId="31906F10" w14:textId="77777777" w:rsidR="00690701" w:rsidRPr="00E92BEE" w:rsidRDefault="00690701">
            <w:pPr>
              <w:keepNext/>
              <w:jc w:val="left"/>
              <w:rPr>
                <w:b/>
                <w:color w:val="008B85" w:themeColor="accent3"/>
              </w:rPr>
            </w:pPr>
            <w:r w:rsidRPr="00E92BEE">
              <w:rPr>
                <w:b/>
                <w:color w:val="008B85" w:themeColor="accent3"/>
              </w:rPr>
              <w:lastRenderedPageBreak/>
              <w:t>Timor-Leste</w:t>
            </w:r>
          </w:p>
          <w:p w14:paraId="4C80AD9A" w14:textId="77777777" w:rsidR="00690701" w:rsidRDefault="00690701">
            <w:pPr>
              <w:keepNext/>
              <w:jc w:val="left"/>
              <w:rPr>
                <w:color w:val="185980"/>
              </w:rPr>
            </w:pPr>
            <w:r w:rsidRPr="411D2811">
              <w:rPr>
                <w:color w:val="185980"/>
              </w:rPr>
              <w:t>IE: UNEP, peer advisor: FMI Finland</w:t>
            </w:r>
          </w:p>
          <w:p w14:paraId="7F90BCAA" w14:textId="02B95A52" w:rsidR="008B4F4B" w:rsidRPr="00D3084A" w:rsidRDefault="008B4F4B" w:rsidP="008B4F4B">
            <w:pPr>
              <w:keepNext/>
              <w:jc w:val="left"/>
            </w:pPr>
            <w:hyperlink r:id="rId65" w:history="1">
              <w:r w:rsidRPr="00D3084A">
                <w:rPr>
                  <w:rStyle w:val="Hyperlink"/>
                  <w:lang w:val="en-US"/>
                </w:rPr>
                <w:t>Link to the s</w:t>
              </w:r>
              <w:r w:rsidRPr="00D3084A">
                <w:rPr>
                  <w:rStyle w:val="Hyperlink"/>
                </w:rPr>
                <w:t>emi-</w:t>
              </w:r>
              <w:r w:rsidRPr="00D3084A">
                <w:rPr>
                  <w:rStyle w:val="Hyperlink"/>
                  <w:lang w:val="en-US"/>
                </w:rPr>
                <w:t>annual report</w:t>
              </w:r>
              <w:r w:rsidRPr="00D3084A">
                <w:rPr>
                  <w:rStyle w:val="Hyperlink"/>
                </w:rPr>
                <w:t xml:space="preserve"> </w:t>
              </w:r>
              <w:r w:rsidR="00D3084A" w:rsidRPr="00D3084A">
                <w:rPr>
                  <w:rStyle w:val="Hyperlink"/>
                </w:rPr>
                <w:t>IE</w:t>
              </w:r>
            </w:hyperlink>
          </w:p>
          <w:p w14:paraId="0D01967A" w14:textId="57F89A74" w:rsidR="008B4F4B" w:rsidRPr="00101C4D" w:rsidRDefault="008B4F4B" w:rsidP="008B4F4B">
            <w:pPr>
              <w:keepNext/>
              <w:jc w:val="left"/>
              <w:rPr>
                <w:color w:val="185980"/>
              </w:rPr>
            </w:pPr>
            <w:hyperlink r:id="rId66" w:history="1">
              <w:r w:rsidRPr="00672A29">
                <w:rPr>
                  <w:rStyle w:val="Hyperlink"/>
                </w:rPr>
                <w:t>Link to the semi-annual report of the peer advisor</w:t>
              </w:r>
            </w:hyperlink>
          </w:p>
        </w:tc>
        <w:tc>
          <w:tcPr>
            <w:tcW w:w="15738" w:type="dxa"/>
          </w:tcPr>
          <w:p w14:paraId="304D48B0" w14:textId="62C57E9D" w:rsidR="00E92BEE" w:rsidRPr="00E92BEE" w:rsidRDefault="00E92BEE" w:rsidP="00E92BEE">
            <w:pPr>
              <w:rPr>
                <w:lang w:eastAsia="ko-KR"/>
              </w:rPr>
            </w:pPr>
            <w:r w:rsidRPr="00E92BEE">
              <w:rPr>
                <w:lang w:eastAsia="ko-KR"/>
              </w:rPr>
              <w:t>The National Directorate of Meteorology and Geophysics (DNMG), operating under the Ministry of Transport and Communication, was designated as the Executing Entity for the project.</w:t>
            </w:r>
          </w:p>
          <w:p w14:paraId="1FEA51AB" w14:textId="647219E7" w:rsidR="00E92BEE" w:rsidRPr="00E92BEE" w:rsidRDefault="00E92BEE" w:rsidP="00E92BEE">
            <w:pPr>
              <w:rPr>
                <w:lang w:eastAsia="ko-KR"/>
              </w:rPr>
            </w:pPr>
            <w:r w:rsidRPr="00E92BEE">
              <w:rPr>
                <w:lang w:eastAsia="ko-KR"/>
              </w:rPr>
              <w:t>Throughout May 2025, DNMG actively engaged in a series of coordination and introductory meetings with key partners, BMKG (Indonesia), RIMES, and FMI, to establish a shared understanding of project objectives, implementation arrangements, and legal frameworks. These efforts laid the foundation for effective collaboration and alignment across stakeholders.</w:t>
            </w:r>
          </w:p>
          <w:p w14:paraId="10F67BBF" w14:textId="4A2228DF" w:rsidR="00690701" w:rsidRPr="00E92BEE" w:rsidRDefault="00E92BEE" w:rsidP="00E92BEE">
            <w:pPr>
              <w:rPr>
                <w:lang w:eastAsia="ko-KR"/>
              </w:rPr>
            </w:pPr>
            <w:r w:rsidRPr="00E92BEE">
              <w:rPr>
                <w:lang w:eastAsia="ko-KR"/>
              </w:rPr>
              <w:t>DNMG is currently leading the internal legal review process in coordination with the Ministry of Transport and Communication, while BMKG and RIMES have completed their respective legal clearances. Finalization of legal instruments will enable DNMG to request the first disbursement of funds, initiating Year 1 activities including the establishment of the Project Management Unit (PMU) and the inception workshop.</w:t>
            </w:r>
          </w:p>
        </w:tc>
      </w:tr>
      <w:tr w:rsidR="00690701" w14:paraId="6DF2482F" w14:textId="77777777">
        <w:tc>
          <w:tcPr>
            <w:tcW w:w="2972" w:type="dxa"/>
            <w:shd w:val="clear" w:color="auto" w:fill="F2F2F2" w:themeFill="background1" w:themeFillShade="F2"/>
          </w:tcPr>
          <w:p w14:paraId="2DA08B34" w14:textId="77777777" w:rsidR="00690701" w:rsidRPr="00E92BEE" w:rsidRDefault="00690701">
            <w:pPr>
              <w:keepNext/>
              <w:jc w:val="left"/>
              <w:rPr>
                <w:b/>
                <w:color w:val="008B85" w:themeColor="accent3"/>
              </w:rPr>
            </w:pPr>
            <w:r w:rsidRPr="00E92BEE">
              <w:rPr>
                <w:b/>
                <w:color w:val="008B85" w:themeColor="accent3"/>
              </w:rPr>
              <w:t>Uganda</w:t>
            </w:r>
          </w:p>
          <w:p w14:paraId="75BDBA18" w14:textId="77777777" w:rsidR="00690701" w:rsidRDefault="00690701">
            <w:pPr>
              <w:keepNext/>
              <w:jc w:val="left"/>
              <w:rPr>
                <w:color w:val="185980"/>
              </w:rPr>
            </w:pPr>
            <w:r w:rsidRPr="411D2811">
              <w:rPr>
                <w:color w:val="185980"/>
              </w:rPr>
              <w:t>IE: IsDB, peer advisor: KNMI Netherlands</w:t>
            </w:r>
          </w:p>
          <w:p w14:paraId="0A992ED2" w14:textId="04069195" w:rsidR="008B4F4B" w:rsidRPr="00F33074" w:rsidRDefault="008B4F4B" w:rsidP="008B4F4B">
            <w:pPr>
              <w:keepNext/>
              <w:jc w:val="left"/>
            </w:pPr>
            <w:hyperlink r:id="rId67" w:history="1">
              <w:r w:rsidRPr="00F33074">
                <w:rPr>
                  <w:rStyle w:val="Hyperlink"/>
                  <w:lang w:val="en-US"/>
                </w:rPr>
                <w:t>Link to the s</w:t>
              </w:r>
              <w:r w:rsidRPr="00F33074">
                <w:rPr>
                  <w:rStyle w:val="Hyperlink"/>
                </w:rPr>
                <w:t>emi-</w:t>
              </w:r>
              <w:r w:rsidRPr="00F33074">
                <w:rPr>
                  <w:rStyle w:val="Hyperlink"/>
                  <w:lang w:val="en-US"/>
                </w:rPr>
                <w:t>annual report</w:t>
              </w:r>
              <w:r w:rsidRPr="00F33074">
                <w:rPr>
                  <w:rStyle w:val="Hyperlink"/>
                </w:rPr>
                <w:t xml:space="preserve"> </w:t>
              </w:r>
              <w:r w:rsidR="00F33074" w:rsidRPr="00F33074">
                <w:rPr>
                  <w:rStyle w:val="Hyperlink"/>
                </w:rPr>
                <w:t>IE</w:t>
              </w:r>
            </w:hyperlink>
          </w:p>
          <w:p w14:paraId="030921DC" w14:textId="26AAD7E1" w:rsidR="008B4F4B" w:rsidRPr="00101C4D" w:rsidRDefault="008B4F4B" w:rsidP="008B4F4B">
            <w:pPr>
              <w:keepNext/>
              <w:jc w:val="left"/>
              <w:rPr>
                <w:color w:val="185980"/>
              </w:rPr>
            </w:pPr>
            <w:hyperlink r:id="rId68" w:history="1">
              <w:r w:rsidRPr="007372A9">
                <w:rPr>
                  <w:rStyle w:val="Hyperlink"/>
                </w:rPr>
                <w:t>Link to the semi-annual report of the peer advisor</w:t>
              </w:r>
            </w:hyperlink>
          </w:p>
        </w:tc>
        <w:tc>
          <w:tcPr>
            <w:tcW w:w="15738" w:type="dxa"/>
          </w:tcPr>
          <w:p w14:paraId="4CD73032" w14:textId="68479915" w:rsidR="00165688" w:rsidRPr="00165688" w:rsidRDefault="00165688" w:rsidP="00165688">
            <w:pPr>
              <w:rPr>
                <w:lang w:eastAsia="ko-KR"/>
              </w:rPr>
            </w:pPr>
            <w:r w:rsidRPr="00165688">
              <w:rPr>
                <w:lang w:eastAsia="ko-KR"/>
              </w:rPr>
              <w:t xml:space="preserve">The draft financing agreement was shared </w:t>
            </w:r>
            <w:r>
              <w:rPr>
                <w:lang w:eastAsia="ko-KR"/>
              </w:rPr>
              <w:t xml:space="preserve">by the Islamic Development Bank </w:t>
            </w:r>
            <w:r w:rsidRPr="00165688">
              <w:rPr>
                <w:lang w:eastAsia="ko-KR"/>
              </w:rPr>
              <w:t>with the Ministry of Finance on June 23, 2025, and is currently pending review by the Attorney General. To expedite the process, the Kampala regional hub has issued multiple reminders and formally escalated the matter to the Minister of Finance on July 18, 2025.</w:t>
            </w:r>
          </w:p>
          <w:p w14:paraId="02075270" w14:textId="35B1F1B6" w:rsidR="00690701" w:rsidRPr="00165688" w:rsidRDefault="00165688" w:rsidP="00165688">
            <w:pPr>
              <w:rPr>
                <w:lang w:eastAsia="ko-KR"/>
              </w:rPr>
            </w:pPr>
            <w:r w:rsidRPr="00165688">
              <w:rPr>
                <w:lang w:eastAsia="ko-KR"/>
              </w:rPr>
              <w:t>Uganda has already initiated recruitment efforts for the Project Management Unit (PMU). On July 9, 2025, the Kampala hub participated in interviews for key PMU positions, including the procurement specialist and accountant roles.</w:t>
            </w:r>
          </w:p>
        </w:tc>
      </w:tr>
      <w:bookmarkEnd w:id="36"/>
    </w:tbl>
    <w:p w14:paraId="02C82772" w14:textId="77777777" w:rsidR="00690701" w:rsidRDefault="00690701" w:rsidP="00690701">
      <w:pPr>
        <w:keepNext/>
      </w:pPr>
    </w:p>
    <w:p w14:paraId="5DFEA2F6" w14:textId="77777777" w:rsidR="00690701" w:rsidRDefault="00690701" w:rsidP="0019027D">
      <w:pPr>
        <w:spacing w:line="256" w:lineRule="auto"/>
        <w:rPr>
          <w:rFonts w:eastAsia="Malgun Gothic" w:cs="Open Sans"/>
          <w:lang w:eastAsia="ko-KR"/>
        </w:rPr>
      </w:pPr>
    </w:p>
    <w:p w14:paraId="4E49219A" w14:textId="77777777" w:rsidR="005920CB" w:rsidRDefault="005920CB" w:rsidP="00BB5CC1">
      <w:pPr>
        <w:spacing w:line="256" w:lineRule="auto"/>
        <w:rPr>
          <w:rFonts w:eastAsia="Malgun Gothic" w:cs="Open Sans"/>
          <w:lang w:eastAsia="ko-KR"/>
        </w:rPr>
      </w:pPr>
    </w:p>
    <w:p w14:paraId="15FC628E" w14:textId="50DE8F31" w:rsidR="00C92960" w:rsidRPr="00C10EEA" w:rsidRDefault="00C92960" w:rsidP="00D00C6F"/>
    <w:sectPr w:rsidR="00C92960" w:rsidRPr="00C10EEA" w:rsidSect="0025596F">
      <w:headerReference w:type="default" r:id="rId69"/>
      <w:footerReference w:type="even" r:id="rId70"/>
      <w:footerReference w:type="default" r:id="rId71"/>
      <w:footerReference w:type="first" r:id="rId72"/>
      <w:pgSz w:w="11906" w:h="16838"/>
      <w:pgMar w:top="1440" w:right="1440" w:bottom="1440" w:left="144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41EA" w14:textId="77777777" w:rsidR="00CB5D57" w:rsidRDefault="00CB5D57" w:rsidP="00BB7D83">
      <w:pPr>
        <w:spacing w:after="0" w:line="240" w:lineRule="auto"/>
      </w:pPr>
      <w:r>
        <w:separator/>
      </w:r>
    </w:p>
  </w:endnote>
  <w:endnote w:type="continuationSeparator" w:id="0">
    <w:p w14:paraId="7BBFD28E" w14:textId="77777777" w:rsidR="00CB5D57" w:rsidRDefault="00CB5D57" w:rsidP="00BB7D83">
      <w:pPr>
        <w:spacing w:after="0" w:line="240" w:lineRule="auto"/>
      </w:pPr>
      <w:r>
        <w:continuationSeparator/>
      </w:r>
    </w:p>
  </w:endnote>
  <w:endnote w:type="continuationNotice" w:id="1">
    <w:p w14:paraId="02C62472" w14:textId="77777777" w:rsidR="00CB5D57" w:rsidRDefault="00CB5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290374"/>
      <w:docPartObj>
        <w:docPartGallery w:val="Page Numbers (Bottom of Page)"/>
        <w:docPartUnique/>
      </w:docPartObj>
    </w:sdtPr>
    <w:sdtContent>
      <w:p w14:paraId="1C36B14E" w14:textId="77777777" w:rsidR="00BB7D83" w:rsidRDefault="00BB7D83" w:rsidP="00517A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C39945" w14:textId="77777777" w:rsidR="00BB7D83" w:rsidRDefault="00BB7D83">
    <w:pPr>
      <w:pStyle w:val="Footer"/>
    </w:pPr>
  </w:p>
  <w:p w14:paraId="0C6B9CB2" w14:textId="77777777" w:rsidR="00A40E2B" w:rsidRDefault="00A40E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174835"/>
      <w:docPartObj>
        <w:docPartGallery w:val="Page Numbers (Bottom of Page)"/>
        <w:docPartUnique/>
      </w:docPartObj>
    </w:sdtPr>
    <w:sdtContent>
      <w:p w14:paraId="413E490F" w14:textId="77777777" w:rsidR="00BB7D83" w:rsidRDefault="00BB7D83" w:rsidP="00517A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B78278" w14:textId="77777777" w:rsidR="00BB7D83" w:rsidRDefault="00BB7D83">
    <w:pPr>
      <w:pStyle w:val="Footer"/>
    </w:pPr>
  </w:p>
  <w:p w14:paraId="50F9957A" w14:textId="77777777" w:rsidR="00A40E2B" w:rsidRDefault="00A40E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1169322"/>
      <w:docPartObj>
        <w:docPartGallery w:val="Page Numbers (Bottom of Page)"/>
        <w:docPartUnique/>
      </w:docPartObj>
    </w:sdtPr>
    <w:sdtContent>
      <w:p w14:paraId="4590CB77" w14:textId="77777777" w:rsidR="00BB7D83" w:rsidRDefault="00BB7D83" w:rsidP="00517A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F2D8B6" w14:textId="77777777" w:rsidR="00BB7D83" w:rsidRDefault="00BB7D83">
    <w:pPr>
      <w:pStyle w:val="Footer"/>
    </w:pPr>
    <w:r>
      <w:tab/>
    </w:r>
  </w:p>
  <w:p w14:paraId="6CF6B763" w14:textId="77777777" w:rsidR="00A40E2B" w:rsidRDefault="00A40E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D0B2" w14:textId="77777777" w:rsidR="00CB5D57" w:rsidRDefault="00CB5D57" w:rsidP="00BB7D83">
      <w:pPr>
        <w:spacing w:after="0" w:line="240" w:lineRule="auto"/>
      </w:pPr>
      <w:r>
        <w:separator/>
      </w:r>
    </w:p>
  </w:footnote>
  <w:footnote w:type="continuationSeparator" w:id="0">
    <w:p w14:paraId="488D608B" w14:textId="77777777" w:rsidR="00CB5D57" w:rsidRDefault="00CB5D57" w:rsidP="00BB7D83">
      <w:pPr>
        <w:spacing w:after="0" w:line="240" w:lineRule="auto"/>
      </w:pPr>
      <w:r>
        <w:continuationSeparator/>
      </w:r>
    </w:p>
  </w:footnote>
  <w:footnote w:type="continuationNotice" w:id="1">
    <w:p w14:paraId="6C131609" w14:textId="77777777" w:rsidR="00CB5D57" w:rsidRDefault="00CB5D57">
      <w:pPr>
        <w:spacing w:after="0" w:line="240" w:lineRule="auto"/>
      </w:pPr>
    </w:p>
  </w:footnote>
  <w:footnote w:id="2">
    <w:p w14:paraId="4CBE0B14" w14:textId="77777777" w:rsidR="00C64FEB" w:rsidRPr="00B6187C" w:rsidRDefault="00C64FEB" w:rsidP="00C64FEB">
      <w:pPr>
        <w:pStyle w:val="Footer"/>
        <w:rPr>
          <w:rFonts w:cs="Open Sans"/>
          <w:sz w:val="20"/>
          <w:szCs w:val="22"/>
        </w:rPr>
      </w:pPr>
      <w:r w:rsidRPr="00B6187C">
        <w:rPr>
          <w:rStyle w:val="FootnoteReference"/>
          <w:rFonts w:cs="Open Sans"/>
          <w:szCs w:val="22"/>
        </w:rPr>
        <w:footnoteRef/>
      </w:r>
      <w:r w:rsidRPr="00B6187C">
        <w:rPr>
          <w:rFonts w:cs="Open Sans"/>
          <w:sz w:val="20"/>
          <w:szCs w:val="22"/>
        </w:rPr>
        <w:t xml:space="preserve"> GBON National Gap Analysis (NGA); GBON National Contribution Plan (NCP); Country Hydromet Diagnostics (CHD).</w:t>
      </w:r>
    </w:p>
  </w:footnote>
  <w:footnote w:id="3">
    <w:p w14:paraId="39525B9E" w14:textId="06565824" w:rsidR="00773E32" w:rsidRDefault="00915255" w:rsidP="00773E32">
      <w:r>
        <w:rPr>
          <w:rStyle w:val="FootnoteReference"/>
        </w:rPr>
        <w:footnoteRef/>
      </w:r>
      <w:r>
        <w:t xml:space="preserve"> </w:t>
      </w:r>
      <w:r w:rsidR="00773E32" w:rsidRPr="007F49F2">
        <w:t>Asian Development Bank</w:t>
      </w:r>
      <w:r w:rsidR="00773E32">
        <w:t xml:space="preserve">, </w:t>
      </w:r>
      <w:r w:rsidR="00773E32" w:rsidRPr="007F49F2">
        <w:t>African Development Bank</w:t>
      </w:r>
      <w:r w:rsidR="00773E32">
        <w:t xml:space="preserve">, </w:t>
      </w:r>
      <w:r w:rsidR="00773E32" w:rsidRPr="007F49F2">
        <w:t>International Fund for Agricultural Development</w:t>
      </w:r>
      <w:r w:rsidR="00773E32">
        <w:t xml:space="preserve">, </w:t>
      </w:r>
      <w:r w:rsidR="00773E32" w:rsidRPr="007F49F2">
        <w:t>Islamic Development Bank</w:t>
      </w:r>
      <w:r w:rsidR="00773E32">
        <w:t xml:space="preserve">, </w:t>
      </w:r>
      <w:r w:rsidR="00773E32" w:rsidRPr="007F49F2">
        <w:t>Inter-American Development Bank</w:t>
      </w:r>
      <w:r w:rsidR="00773E32">
        <w:t xml:space="preserve">, </w:t>
      </w:r>
      <w:r w:rsidR="00773E32" w:rsidRPr="007F49F2">
        <w:t>United Nations Development Programme (UNDP)</w:t>
      </w:r>
      <w:r w:rsidR="00773E32">
        <w:t xml:space="preserve">, </w:t>
      </w:r>
      <w:r w:rsidR="00773E32" w:rsidRPr="007F49F2">
        <w:t>United Nations Environment Programme (UNEP)</w:t>
      </w:r>
      <w:r w:rsidR="00773E32">
        <w:t xml:space="preserve">, </w:t>
      </w:r>
      <w:r w:rsidR="00773E32" w:rsidRPr="007F49F2">
        <w:t xml:space="preserve">United Nations Food and Agriculture Organization </w:t>
      </w:r>
      <w:r w:rsidR="00773E32">
        <w:t xml:space="preserve">(UN FAO) </w:t>
      </w:r>
      <w:r w:rsidR="00773E32" w:rsidRPr="007F49F2">
        <w:t>World Food Programme (WFP)</w:t>
      </w:r>
      <w:r w:rsidR="00773E32">
        <w:t xml:space="preserve">, </w:t>
      </w:r>
      <w:r w:rsidR="00773E32" w:rsidRPr="007F49F2">
        <w:t>World Bank</w:t>
      </w:r>
    </w:p>
    <w:p w14:paraId="67FB372C" w14:textId="27919B2F" w:rsidR="00915255" w:rsidRPr="00915255" w:rsidRDefault="00915255">
      <w:pPr>
        <w:pStyle w:val="FootnoteText"/>
      </w:pPr>
    </w:p>
  </w:footnote>
  <w:footnote w:id="4">
    <w:p w14:paraId="539DE7E7" w14:textId="77777777" w:rsidR="00690701" w:rsidRPr="00866A6D" w:rsidRDefault="00690701" w:rsidP="00690701">
      <w:pPr>
        <w:pStyle w:val="FootnoteText"/>
        <w:rPr>
          <w:rFonts w:cs="Open Sans"/>
          <w:sz w:val="18"/>
          <w:szCs w:val="18"/>
        </w:rPr>
      </w:pPr>
      <w:r w:rsidRPr="00866A6D">
        <w:rPr>
          <w:rStyle w:val="FootnoteReference"/>
          <w:rFonts w:cs="Open Sans"/>
          <w:sz w:val="18"/>
          <w:szCs w:val="18"/>
        </w:rPr>
        <w:footnoteRef/>
      </w:r>
      <w:r w:rsidRPr="00866A6D">
        <w:rPr>
          <w:rFonts w:cs="Open Sans"/>
          <w:sz w:val="18"/>
          <w:szCs w:val="18"/>
        </w:rPr>
        <w:t xml:space="preserve"> Implementing Entities from countries that have either requested changes or have already made changes are highlighted in 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4022" w14:textId="123D67FB" w:rsidR="006972D7" w:rsidRDefault="006972D7">
    <w:pPr>
      <w:pStyle w:val="Header"/>
    </w:pPr>
    <w:r>
      <w:rPr>
        <w:noProof/>
      </w:rPr>
      <w:drawing>
        <wp:inline distT="0" distB="0" distL="0" distR="0" wp14:anchorId="53DB0B83" wp14:editId="6912D334">
          <wp:extent cx="1261745" cy="311150"/>
          <wp:effectExtent l="0" t="0" r="0" b="0"/>
          <wp:docPr id="127865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3111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4E9" w14:textId="57EE53E8" w:rsidR="00CE7426" w:rsidRDefault="00C11D5A">
    <w:pPr>
      <w:pStyle w:val="Header"/>
    </w:pPr>
    <w:r>
      <w:rPr>
        <w:noProof/>
      </w:rPr>
      <w:drawing>
        <wp:inline distT="0" distB="0" distL="0" distR="0" wp14:anchorId="49F51EAF" wp14:editId="7C6F6122">
          <wp:extent cx="1261745" cy="311150"/>
          <wp:effectExtent l="0" t="0" r="0" b="0"/>
          <wp:docPr id="408254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3111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617" w14:textId="77777777" w:rsidR="009C685A" w:rsidRDefault="008B0BCF">
    <w:pPr>
      <w:pStyle w:val="Header"/>
    </w:pPr>
    <w:r>
      <w:rPr>
        <w:noProof/>
      </w:rPr>
      <w:drawing>
        <wp:anchor distT="0" distB="0" distL="114300" distR="114300" simplePos="0" relativeHeight="251658240" behindDoc="0" locked="0" layoutInCell="1" allowOverlap="1" wp14:anchorId="3195F8B5" wp14:editId="0F10D3CE">
          <wp:simplePos x="0" y="0"/>
          <wp:positionH relativeFrom="column">
            <wp:posOffset>2156</wp:posOffset>
          </wp:positionH>
          <wp:positionV relativeFrom="paragraph">
            <wp:posOffset>-411421</wp:posOffset>
          </wp:positionV>
          <wp:extent cx="1257300" cy="308504"/>
          <wp:effectExtent l="0" t="0" r="0" b="0"/>
          <wp:wrapNone/>
          <wp:docPr id="2064062045" name="Picture 2064062045"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308504"/>
                  </a:xfrm>
                  <a:prstGeom prst="rect">
                    <a:avLst/>
                  </a:prstGeom>
                </pic:spPr>
              </pic:pic>
            </a:graphicData>
          </a:graphic>
          <wp14:sizeRelH relativeFrom="page">
            <wp14:pctWidth>0</wp14:pctWidth>
          </wp14:sizeRelH>
          <wp14:sizeRelV relativeFrom="page">
            <wp14:pctHeight>0</wp14:pctHeight>
          </wp14:sizeRelV>
        </wp:anchor>
      </w:drawing>
    </w:r>
  </w:p>
  <w:p w14:paraId="616F426B" w14:textId="77777777" w:rsidR="00A40E2B" w:rsidRDefault="00A40E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658"/>
    <w:multiLevelType w:val="hybridMultilevel"/>
    <w:tmpl w:val="BF12BF92"/>
    <w:lvl w:ilvl="0" w:tplc="009830E8">
      <w:start w:val="1"/>
      <w:numFmt w:val="bullet"/>
      <w:pStyle w:val="ListParagraph"/>
      <w:lvlText w:val=""/>
      <w:lvlJc w:val="left"/>
      <w:pPr>
        <w:ind w:left="700" w:hanging="360"/>
      </w:pPr>
      <w:rPr>
        <w:rFonts w:ascii="Symbol" w:hAnsi="Symbol" w:hint="default"/>
      </w:rPr>
    </w:lvl>
    <w:lvl w:ilvl="1" w:tplc="A7EC76F2">
      <w:start w:val="1"/>
      <w:numFmt w:val="bullet"/>
      <w:lvlText w:val="o"/>
      <w:lvlJc w:val="left"/>
      <w:pPr>
        <w:ind w:left="2160" w:hanging="360"/>
      </w:pPr>
      <w:rPr>
        <w:rFonts w:ascii="Courier New" w:hAnsi="Courier New" w:hint="default"/>
      </w:rPr>
    </w:lvl>
    <w:lvl w:ilvl="2" w:tplc="8752C304" w:tentative="1">
      <w:start w:val="1"/>
      <w:numFmt w:val="bullet"/>
      <w:lvlText w:val=""/>
      <w:lvlJc w:val="left"/>
      <w:pPr>
        <w:ind w:left="2880" w:hanging="360"/>
      </w:pPr>
      <w:rPr>
        <w:rFonts w:ascii="Wingdings" w:hAnsi="Wingdings" w:hint="default"/>
      </w:rPr>
    </w:lvl>
    <w:lvl w:ilvl="3" w:tplc="EF52C9D6" w:tentative="1">
      <w:start w:val="1"/>
      <w:numFmt w:val="bullet"/>
      <w:lvlText w:val=""/>
      <w:lvlJc w:val="left"/>
      <w:pPr>
        <w:ind w:left="3600" w:hanging="360"/>
      </w:pPr>
      <w:rPr>
        <w:rFonts w:ascii="Symbol" w:hAnsi="Symbol" w:hint="default"/>
      </w:rPr>
    </w:lvl>
    <w:lvl w:ilvl="4" w:tplc="AE04540C" w:tentative="1">
      <w:start w:val="1"/>
      <w:numFmt w:val="bullet"/>
      <w:lvlText w:val="o"/>
      <w:lvlJc w:val="left"/>
      <w:pPr>
        <w:ind w:left="4320" w:hanging="360"/>
      </w:pPr>
      <w:rPr>
        <w:rFonts w:ascii="Courier New" w:hAnsi="Courier New" w:hint="default"/>
      </w:rPr>
    </w:lvl>
    <w:lvl w:ilvl="5" w:tplc="CCD49052" w:tentative="1">
      <w:start w:val="1"/>
      <w:numFmt w:val="bullet"/>
      <w:lvlText w:val=""/>
      <w:lvlJc w:val="left"/>
      <w:pPr>
        <w:ind w:left="5040" w:hanging="360"/>
      </w:pPr>
      <w:rPr>
        <w:rFonts w:ascii="Wingdings" w:hAnsi="Wingdings" w:hint="default"/>
      </w:rPr>
    </w:lvl>
    <w:lvl w:ilvl="6" w:tplc="FDA441EE" w:tentative="1">
      <w:start w:val="1"/>
      <w:numFmt w:val="bullet"/>
      <w:lvlText w:val=""/>
      <w:lvlJc w:val="left"/>
      <w:pPr>
        <w:ind w:left="5760" w:hanging="360"/>
      </w:pPr>
      <w:rPr>
        <w:rFonts w:ascii="Symbol" w:hAnsi="Symbol" w:hint="default"/>
      </w:rPr>
    </w:lvl>
    <w:lvl w:ilvl="7" w:tplc="A0FC6D60" w:tentative="1">
      <w:start w:val="1"/>
      <w:numFmt w:val="bullet"/>
      <w:lvlText w:val="o"/>
      <w:lvlJc w:val="left"/>
      <w:pPr>
        <w:ind w:left="6480" w:hanging="360"/>
      </w:pPr>
      <w:rPr>
        <w:rFonts w:ascii="Courier New" w:hAnsi="Courier New" w:hint="default"/>
      </w:rPr>
    </w:lvl>
    <w:lvl w:ilvl="8" w:tplc="83CCA4AA" w:tentative="1">
      <w:start w:val="1"/>
      <w:numFmt w:val="bullet"/>
      <w:lvlText w:val=""/>
      <w:lvlJc w:val="left"/>
      <w:pPr>
        <w:ind w:left="7200" w:hanging="360"/>
      </w:pPr>
      <w:rPr>
        <w:rFonts w:ascii="Wingdings" w:hAnsi="Wingdings" w:hint="default"/>
      </w:rPr>
    </w:lvl>
  </w:abstractNum>
  <w:abstractNum w:abstractNumId="1" w15:restartNumberingAfterBreak="0">
    <w:nsid w:val="1D062AA5"/>
    <w:multiLevelType w:val="multilevel"/>
    <w:tmpl w:val="897CD9C2"/>
    <w:lvl w:ilvl="0">
      <w:start w:val="1"/>
      <w:numFmt w:val="decimal"/>
      <w:pStyle w:val="Heading1"/>
      <w:lvlText w:val="%1."/>
      <w:lvlJc w:val="left"/>
      <w:pPr>
        <w:ind w:left="432" w:hanging="432"/>
      </w:pPr>
      <w:rPr>
        <w:rFonts w:hint="default"/>
      </w:rPr>
    </w:lvl>
    <w:lvl w:ilvl="1">
      <w:start w:val="1"/>
      <w:numFmt w:val="decimal"/>
      <w:lvlText w:val="%1.%2."/>
      <w:lvlJc w:val="left"/>
      <w:pPr>
        <w:ind w:left="-983" w:hanging="576"/>
      </w:pPr>
      <w:rPr>
        <w:rFonts w:hint="default"/>
        <w:b/>
        <w:bCs w:val="0"/>
      </w:rPr>
    </w:lvl>
    <w:lvl w:ilvl="2">
      <w:start w:val="1"/>
      <w:numFmt w:val="decimal"/>
      <w:pStyle w:val="Heading3"/>
      <w:lvlText w:val="%1.%2.%3"/>
      <w:lvlJc w:val="left"/>
      <w:pPr>
        <w:ind w:left="-839" w:hanging="720"/>
      </w:pPr>
      <w:rPr>
        <w:rFonts w:hint="default"/>
      </w:rPr>
    </w:lvl>
    <w:lvl w:ilvl="3">
      <w:start w:val="1"/>
      <w:numFmt w:val="decimal"/>
      <w:pStyle w:val="Heading4"/>
      <w:lvlText w:val="%1.%2.%3.%4"/>
      <w:lvlJc w:val="left"/>
      <w:pPr>
        <w:ind w:left="-695" w:hanging="864"/>
      </w:pPr>
      <w:rPr>
        <w:rFonts w:hint="default"/>
      </w:rPr>
    </w:lvl>
    <w:lvl w:ilvl="4">
      <w:start w:val="1"/>
      <w:numFmt w:val="decimal"/>
      <w:pStyle w:val="Heading5"/>
      <w:lvlText w:val="%1.%2.%3.%4.%5"/>
      <w:lvlJc w:val="left"/>
      <w:pPr>
        <w:ind w:left="-551" w:hanging="1008"/>
      </w:pPr>
      <w:rPr>
        <w:rFonts w:hint="default"/>
      </w:rPr>
    </w:lvl>
    <w:lvl w:ilvl="5">
      <w:start w:val="1"/>
      <w:numFmt w:val="decimal"/>
      <w:pStyle w:val="Heading6"/>
      <w:lvlText w:val="%1.%2.%3.%4.%5.%6"/>
      <w:lvlJc w:val="left"/>
      <w:pPr>
        <w:ind w:left="-407" w:hanging="1152"/>
      </w:pPr>
      <w:rPr>
        <w:rFonts w:hint="default"/>
      </w:rPr>
    </w:lvl>
    <w:lvl w:ilvl="6">
      <w:start w:val="1"/>
      <w:numFmt w:val="decimal"/>
      <w:pStyle w:val="Heading7"/>
      <w:lvlText w:val="%1.%2.%3.%4.%5.%6.%7"/>
      <w:lvlJc w:val="left"/>
      <w:pPr>
        <w:ind w:left="-263" w:hanging="1296"/>
      </w:pPr>
      <w:rPr>
        <w:rFonts w:hint="default"/>
      </w:rPr>
    </w:lvl>
    <w:lvl w:ilvl="7">
      <w:start w:val="1"/>
      <w:numFmt w:val="decimal"/>
      <w:pStyle w:val="Heading8"/>
      <w:lvlText w:val="%1.%2.%3.%4.%5.%6.%7.%8"/>
      <w:lvlJc w:val="left"/>
      <w:pPr>
        <w:ind w:left="-119" w:hanging="1440"/>
      </w:pPr>
      <w:rPr>
        <w:rFonts w:hint="default"/>
      </w:rPr>
    </w:lvl>
    <w:lvl w:ilvl="8">
      <w:start w:val="1"/>
      <w:numFmt w:val="decimal"/>
      <w:pStyle w:val="Heading9"/>
      <w:lvlText w:val="%1.%2.%3.%4.%5.%6.%7.%8.%9"/>
      <w:lvlJc w:val="left"/>
      <w:pPr>
        <w:ind w:left="25" w:hanging="1584"/>
      </w:pPr>
      <w:rPr>
        <w:rFonts w:hint="default"/>
      </w:rPr>
    </w:lvl>
  </w:abstractNum>
  <w:abstractNum w:abstractNumId="2" w15:restartNumberingAfterBreak="0">
    <w:nsid w:val="4BA00195"/>
    <w:multiLevelType w:val="multilevel"/>
    <w:tmpl w:val="C8AE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47C16"/>
    <w:multiLevelType w:val="multilevel"/>
    <w:tmpl w:val="3D343F08"/>
    <w:styleLink w:val="CurrentList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817011B"/>
    <w:multiLevelType w:val="multilevel"/>
    <w:tmpl w:val="83A01C6A"/>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39730988">
    <w:abstractNumId w:val="1"/>
  </w:num>
  <w:num w:numId="2" w16cid:durableId="354577514">
    <w:abstractNumId w:val="4"/>
  </w:num>
  <w:num w:numId="3" w16cid:durableId="1667398404">
    <w:abstractNumId w:val="0"/>
  </w:num>
  <w:num w:numId="4" w16cid:durableId="970983438">
    <w:abstractNumId w:val="3"/>
  </w:num>
  <w:num w:numId="5" w16cid:durableId="1031125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8F"/>
    <w:rsid w:val="000008B5"/>
    <w:rsid w:val="00001767"/>
    <w:rsid w:val="000021DC"/>
    <w:rsid w:val="000021F4"/>
    <w:rsid w:val="0000222A"/>
    <w:rsid w:val="0000247A"/>
    <w:rsid w:val="00002C89"/>
    <w:rsid w:val="00002C9A"/>
    <w:rsid w:val="0000300D"/>
    <w:rsid w:val="00004309"/>
    <w:rsid w:val="000059EB"/>
    <w:rsid w:val="00006134"/>
    <w:rsid w:val="00006B2C"/>
    <w:rsid w:val="00006EE2"/>
    <w:rsid w:val="00007D2F"/>
    <w:rsid w:val="0001010D"/>
    <w:rsid w:val="00010776"/>
    <w:rsid w:val="00010FD8"/>
    <w:rsid w:val="0001127B"/>
    <w:rsid w:val="00011EEB"/>
    <w:rsid w:val="000128D9"/>
    <w:rsid w:val="00012D56"/>
    <w:rsid w:val="00012E58"/>
    <w:rsid w:val="00014883"/>
    <w:rsid w:val="000154B2"/>
    <w:rsid w:val="00015B3E"/>
    <w:rsid w:val="00016079"/>
    <w:rsid w:val="00016AD0"/>
    <w:rsid w:val="000174B2"/>
    <w:rsid w:val="00020B2F"/>
    <w:rsid w:val="00021B45"/>
    <w:rsid w:val="00021C1C"/>
    <w:rsid w:val="00021D76"/>
    <w:rsid w:val="000225CD"/>
    <w:rsid w:val="000225DD"/>
    <w:rsid w:val="00022725"/>
    <w:rsid w:val="000236A7"/>
    <w:rsid w:val="0002370A"/>
    <w:rsid w:val="00024935"/>
    <w:rsid w:val="00024C5F"/>
    <w:rsid w:val="0002561D"/>
    <w:rsid w:val="000257C2"/>
    <w:rsid w:val="0002637B"/>
    <w:rsid w:val="00026D53"/>
    <w:rsid w:val="00027C03"/>
    <w:rsid w:val="00030124"/>
    <w:rsid w:val="00030B2E"/>
    <w:rsid w:val="00032369"/>
    <w:rsid w:val="00032ACA"/>
    <w:rsid w:val="00033063"/>
    <w:rsid w:val="0003369D"/>
    <w:rsid w:val="000342A4"/>
    <w:rsid w:val="00035283"/>
    <w:rsid w:val="00035572"/>
    <w:rsid w:val="000356AD"/>
    <w:rsid w:val="0003576A"/>
    <w:rsid w:val="000357B6"/>
    <w:rsid w:val="00036DD2"/>
    <w:rsid w:val="000371C9"/>
    <w:rsid w:val="00037265"/>
    <w:rsid w:val="00037FD2"/>
    <w:rsid w:val="0004013E"/>
    <w:rsid w:val="00040BAD"/>
    <w:rsid w:val="00040F91"/>
    <w:rsid w:val="00041AB1"/>
    <w:rsid w:val="000420EE"/>
    <w:rsid w:val="00042369"/>
    <w:rsid w:val="000426FF"/>
    <w:rsid w:val="00042773"/>
    <w:rsid w:val="000427C6"/>
    <w:rsid w:val="0004295A"/>
    <w:rsid w:val="00042C0C"/>
    <w:rsid w:val="00042E8C"/>
    <w:rsid w:val="0004300D"/>
    <w:rsid w:val="00043373"/>
    <w:rsid w:val="00043BAE"/>
    <w:rsid w:val="00043CE0"/>
    <w:rsid w:val="00044DFF"/>
    <w:rsid w:val="00044FA7"/>
    <w:rsid w:val="0004517F"/>
    <w:rsid w:val="0004519D"/>
    <w:rsid w:val="00045791"/>
    <w:rsid w:val="000470C1"/>
    <w:rsid w:val="000501F8"/>
    <w:rsid w:val="0005022F"/>
    <w:rsid w:val="00050296"/>
    <w:rsid w:val="00050592"/>
    <w:rsid w:val="000513E3"/>
    <w:rsid w:val="00051471"/>
    <w:rsid w:val="000516BE"/>
    <w:rsid w:val="0005210B"/>
    <w:rsid w:val="00052657"/>
    <w:rsid w:val="00052F6F"/>
    <w:rsid w:val="00053185"/>
    <w:rsid w:val="000542CF"/>
    <w:rsid w:val="0005483E"/>
    <w:rsid w:val="00054F6D"/>
    <w:rsid w:val="00055859"/>
    <w:rsid w:val="00060234"/>
    <w:rsid w:val="00060CC4"/>
    <w:rsid w:val="00063534"/>
    <w:rsid w:val="000637E8"/>
    <w:rsid w:val="0006554E"/>
    <w:rsid w:val="0006608E"/>
    <w:rsid w:val="0006699E"/>
    <w:rsid w:val="00066E82"/>
    <w:rsid w:val="00066F97"/>
    <w:rsid w:val="0006710F"/>
    <w:rsid w:val="000674AB"/>
    <w:rsid w:val="000679B2"/>
    <w:rsid w:val="00067FD1"/>
    <w:rsid w:val="00070F42"/>
    <w:rsid w:val="00071300"/>
    <w:rsid w:val="00071377"/>
    <w:rsid w:val="00071FEC"/>
    <w:rsid w:val="000721BD"/>
    <w:rsid w:val="000721FC"/>
    <w:rsid w:val="00072432"/>
    <w:rsid w:val="00072FD2"/>
    <w:rsid w:val="000730F3"/>
    <w:rsid w:val="000731EA"/>
    <w:rsid w:val="00073583"/>
    <w:rsid w:val="00074122"/>
    <w:rsid w:val="0007499B"/>
    <w:rsid w:val="000761C6"/>
    <w:rsid w:val="000765C6"/>
    <w:rsid w:val="00076E00"/>
    <w:rsid w:val="000779EA"/>
    <w:rsid w:val="00077D96"/>
    <w:rsid w:val="00080569"/>
    <w:rsid w:val="00080640"/>
    <w:rsid w:val="00080749"/>
    <w:rsid w:val="00081C8D"/>
    <w:rsid w:val="00081D25"/>
    <w:rsid w:val="00082199"/>
    <w:rsid w:val="0008249D"/>
    <w:rsid w:val="0008282C"/>
    <w:rsid w:val="00082A22"/>
    <w:rsid w:val="00083434"/>
    <w:rsid w:val="00084EE8"/>
    <w:rsid w:val="00085A41"/>
    <w:rsid w:val="000863BD"/>
    <w:rsid w:val="0008662F"/>
    <w:rsid w:val="000877DD"/>
    <w:rsid w:val="00090FA2"/>
    <w:rsid w:val="00091B23"/>
    <w:rsid w:val="00092C54"/>
    <w:rsid w:val="00092F0C"/>
    <w:rsid w:val="000935EE"/>
    <w:rsid w:val="0009394E"/>
    <w:rsid w:val="00095C6C"/>
    <w:rsid w:val="00096168"/>
    <w:rsid w:val="00096484"/>
    <w:rsid w:val="000972A6"/>
    <w:rsid w:val="00097D45"/>
    <w:rsid w:val="000A0178"/>
    <w:rsid w:val="000A115D"/>
    <w:rsid w:val="000A202E"/>
    <w:rsid w:val="000A258C"/>
    <w:rsid w:val="000A37E8"/>
    <w:rsid w:val="000A3E17"/>
    <w:rsid w:val="000A4417"/>
    <w:rsid w:val="000A489F"/>
    <w:rsid w:val="000A4FB5"/>
    <w:rsid w:val="000A5245"/>
    <w:rsid w:val="000A5296"/>
    <w:rsid w:val="000A5318"/>
    <w:rsid w:val="000A59C2"/>
    <w:rsid w:val="000A5A93"/>
    <w:rsid w:val="000A6BF6"/>
    <w:rsid w:val="000A6F6D"/>
    <w:rsid w:val="000A710E"/>
    <w:rsid w:val="000B012F"/>
    <w:rsid w:val="000B0629"/>
    <w:rsid w:val="000B063F"/>
    <w:rsid w:val="000B0DF6"/>
    <w:rsid w:val="000B31DD"/>
    <w:rsid w:val="000B3B65"/>
    <w:rsid w:val="000B4912"/>
    <w:rsid w:val="000B4BA8"/>
    <w:rsid w:val="000B5C36"/>
    <w:rsid w:val="000B6490"/>
    <w:rsid w:val="000B6878"/>
    <w:rsid w:val="000B73BF"/>
    <w:rsid w:val="000B76EB"/>
    <w:rsid w:val="000B79A2"/>
    <w:rsid w:val="000B7BAA"/>
    <w:rsid w:val="000C04FA"/>
    <w:rsid w:val="000C0937"/>
    <w:rsid w:val="000C0F91"/>
    <w:rsid w:val="000C1CB4"/>
    <w:rsid w:val="000C1F5C"/>
    <w:rsid w:val="000C23B0"/>
    <w:rsid w:val="000C2601"/>
    <w:rsid w:val="000C2BD6"/>
    <w:rsid w:val="000C2EBD"/>
    <w:rsid w:val="000C331C"/>
    <w:rsid w:val="000C364C"/>
    <w:rsid w:val="000C387F"/>
    <w:rsid w:val="000C4954"/>
    <w:rsid w:val="000C55EB"/>
    <w:rsid w:val="000C5759"/>
    <w:rsid w:val="000C5F82"/>
    <w:rsid w:val="000C6044"/>
    <w:rsid w:val="000C679A"/>
    <w:rsid w:val="000C6986"/>
    <w:rsid w:val="000C747C"/>
    <w:rsid w:val="000C7E6D"/>
    <w:rsid w:val="000D07DB"/>
    <w:rsid w:val="000D134E"/>
    <w:rsid w:val="000D1599"/>
    <w:rsid w:val="000D291F"/>
    <w:rsid w:val="000D2A46"/>
    <w:rsid w:val="000D3735"/>
    <w:rsid w:val="000D4D75"/>
    <w:rsid w:val="000D6822"/>
    <w:rsid w:val="000E065E"/>
    <w:rsid w:val="000E1CA2"/>
    <w:rsid w:val="000E2F4B"/>
    <w:rsid w:val="000E4E46"/>
    <w:rsid w:val="000E5968"/>
    <w:rsid w:val="000E5CBF"/>
    <w:rsid w:val="000E5DE9"/>
    <w:rsid w:val="000E5F23"/>
    <w:rsid w:val="000E62BB"/>
    <w:rsid w:val="000E6AE9"/>
    <w:rsid w:val="000E7393"/>
    <w:rsid w:val="000E75D9"/>
    <w:rsid w:val="000F065A"/>
    <w:rsid w:val="000F12FB"/>
    <w:rsid w:val="000F16EA"/>
    <w:rsid w:val="000F1B92"/>
    <w:rsid w:val="000F2DBE"/>
    <w:rsid w:val="000F3263"/>
    <w:rsid w:val="000F4ACE"/>
    <w:rsid w:val="000F609B"/>
    <w:rsid w:val="000F6323"/>
    <w:rsid w:val="000F6A09"/>
    <w:rsid w:val="000F6F16"/>
    <w:rsid w:val="000F7349"/>
    <w:rsid w:val="000F7401"/>
    <w:rsid w:val="00100666"/>
    <w:rsid w:val="001008F8"/>
    <w:rsid w:val="00100ACB"/>
    <w:rsid w:val="00100B7B"/>
    <w:rsid w:val="00100B8A"/>
    <w:rsid w:val="00102133"/>
    <w:rsid w:val="0010235F"/>
    <w:rsid w:val="001032C0"/>
    <w:rsid w:val="00103726"/>
    <w:rsid w:val="00103B02"/>
    <w:rsid w:val="00103B68"/>
    <w:rsid w:val="00104437"/>
    <w:rsid w:val="001045D9"/>
    <w:rsid w:val="00104BF5"/>
    <w:rsid w:val="00104E70"/>
    <w:rsid w:val="00104EB4"/>
    <w:rsid w:val="00104EE5"/>
    <w:rsid w:val="00104F20"/>
    <w:rsid w:val="00104F2F"/>
    <w:rsid w:val="00105FA1"/>
    <w:rsid w:val="0010697B"/>
    <w:rsid w:val="00107259"/>
    <w:rsid w:val="00107DA1"/>
    <w:rsid w:val="00110331"/>
    <w:rsid w:val="00110557"/>
    <w:rsid w:val="00110567"/>
    <w:rsid w:val="00112642"/>
    <w:rsid w:val="00112FD6"/>
    <w:rsid w:val="00113EBB"/>
    <w:rsid w:val="001145BD"/>
    <w:rsid w:val="001148CE"/>
    <w:rsid w:val="00114C22"/>
    <w:rsid w:val="00114FFD"/>
    <w:rsid w:val="001151C8"/>
    <w:rsid w:val="00115856"/>
    <w:rsid w:val="00116112"/>
    <w:rsid w:val="0011638A"/>
    <w:rsid w:val="00117B90"/>
    <w:rsid w:val="00117ED9"/>
    <w:rsid w:val="00120C72"/>
    <w:rsid w:val="00120C91"/>
    <w:rsid w:val="00121155"/>
    <w:rsid w:val="00121783"/>
    <w:rsid w:val="0012346E"/>
    <w:rsid w:val="001238E3"/>
    <w:rsid w:val="00123B51"/>
    <w:rsid w:val="00123B87"/>
    <w:rsid w:val="00124363"/>
    <w:rsid w:val="001243DF"/>
    <w:rsid w:val="001246C6"/>
    <w:rsid w:val="00124CA6"/>
    <w:rsid w:val="00124CF2"/>
    <w:rsid w:val="001252C1"/>
    <w:rsid w:val="0012581A"/>
    <w:rsid w:val="001262DC"/>
    <w:rsid w:val="00126304"/>
    <w:rsid w:val="00126A30"/>
    <w:rsid w:val="001275C3"/>
    <w:rsid w:val="00127674"/>
    <w:rsid w:val="0013048D"/>
    <w:rsid w:val="001304B4"/>
    <w:rsid w:val="00130DE5"/>
    <w:rsid w:val="001317E9"/>
    <w:rsid w:val="0013196C"/>
    <w:rsid w:val="00131D25"/>
    <w:rsid w:val="00133EED"/>
    <w:rsid w:val="0013419C"/>
    <w:rsid w:val="0013467E"/>
    <w:rsid w:val="00134C69"/>
    <w:rsid w:val="001354A8"/>
    <w:rsid w:val="00135BD0"/>
    <w:rsid w:val="00135FD8"/>
    <w:rsid w:val="00135FEB"/>
    <w:rsid w:val="00136701"/>
    <w:rsid w:val="0013673C"/>
    <w:rsid w:val="00136815"/>
    <w:rsid w:val="00136C6E"/>
    <w:rsid w:val="00137807"/>
    <w:rsid w:val="00137D28"/>
    <w:rsid w:val="001401EA"/>
    <w:rsid w:val="0014054A"/>
    <w:rsid w:val="00140641"/>
    <w:rsid w:val="0014087A"/>
    <w:rsid w:val="001418CF"/>
    <w:rsid w:val="00141B96"/>
    <w:rsid w:val="00141DF4"/>
    <w:rsid w:val="0014209E"/>
    <w:rsid w:val="00142438"/>
    <w:rsid w:val="001424D9"/>
    <w:rsid w:val="001427BE"/>
    <w:rsid w:val="00143042"/>
    <w:rsid w:val="001435D7"/>
    <w:rsid w:val="00143BAE"/>
    <w:rsid w:val="001446E9"/>
    <w:rsid w:val="00145352"/>
    <w:rsid w:val="001464C8"/>
    <w:rsid w:val="0014750B"/>
    <w:rsid w:val="00147DCF"/>
    <w:rsid w:val="0015013A"/>
    <w:rsid w:val="00150283"/>
    <w:rsid w:val="0015032E"/>
    <w:rsid w:val="0015037B"/>
    <w:rsid w:val="00151156"/>
    <w:rsid w:val="00151508"/>
    <w:rsid w:val="00151A2F"/>
    <w:rsid w:val="00151A61"/>
    <w:rsid w:val="00152FD8"/>
    <w:rsid w:val="001533F2"/>
    <w:rsid w:val="00153E0B"/>
    <w:rsid w:val="0015421F"/>
    <w:rsid w:val="00154586"/>
    <w:rsid w:val="00155042"/>
    <w:rsid w:val="00155412"/>
    <w:rsid w:val="00155E2D"/>
    <w:rsid w:val="00155E57"/>
    <w:rsid w:val="00156D0A"/>
    <w:rsid w:val="00156D81"/>
    <w:rsid w:val="0015772B"/>
    <w:rsid w:val="001578D7"/>
    <w:rsid w:val="00157DBD"/>
    <w:rsid w:val="00160CF0"/>
    <w:rsid w:val="00160F48"/>
    <w:rsid w:val="00161975"/>
    <w:rsid w:val="00163F94"/>
    <w:rsid w:val="001643B4"/>
    <w:rsid w:val="00164401"/>
    <w:rsid w:val="00164824"/>
    <w:rsid w:val="001654CE"/>
    <w:rsid w:val="00165688"/>
    <w:rsid w:val="00165D41"/>
    <w:rsid w:val="0016606E"/>
    <w:rsid w:val="00166238"/>
    <w:rsid w:val="00166FA8"/>
    <w:rsid w:val="0016747B"/>
    <w:rsid w:val="00167AC7"/>
    <w:rsid w:val="00167B49"/>
    <w:rsid w:val="0017025C"/>
    <w:rsid w:val="0017094F"/>
    <w:rsid w:val="001712CC"/>
    <w:rsid w:val="001729B4"/>
    <w:rsid w:val="00172A25"/>
    <w:rsid w:val="00172C9A"/>
    <w:rsid w:val="00172CE5"/>
    <w:rsid w:val="0017301B"/>
    <w:rsid w:val="00173828"/>
    <w:rsid w:val="00173FB3"/>
    <w:rsid w:val="001740BC"/>
    <w:rsid w:val="001745EA"/>
    <w:rsid w:val="00174FEF"/>
    <w:rsid w:val="001750F9"/>
    <w:rsid w:val="00176F22"/>
    <w:rsid w:val="0018006C"/>
    <w:rsid w:val="00180417"/>
    <w:rsid w:val="00180559"/>
    <w:rsid w:val="00180751"/>
    <w:rsid w:val="00180764"/>
    <w:rsid w:val="00180B37"/>
    <w:rsid w:val="00181BA3"/>
    <w:rsid w:val="00182222"/>
    <w:rsid w:val="001827D6"/>
    <w:rsid w:val="00183988"/>
    <w:rsid w:val="00183E85"/>
    <w:rsid w:val="00183E8C"/>
    <w:rsid w:val="0018459A"/>
    <w:rsid w:val="00184634"/>
    <w:rsid w:val="001859D1"/>
    <w:rsid w:val="00185E29"/>
    <w:rsid w:val="00187819"/>
    <w:rsid w:val="00187970"/>
    <w:rsid w:val="00187FAE"/>
    <w:rsid w:val="00190239"/>
    <w:rsid w:val="0019027D"/>
    <w:rsid w:val="0019285A"/>
    <w:rsid w:val="00192D59"/>
    <w:rsid w:val="00193709"/>
    <w:rsid w:val="0019461B"/>
    <w:rsid w:val="00194EAA"/>
    <w:rsid w:val="00194F26"/>
    <w:rsid w:val="00195297"/>
    <w:rsid w:val="00195655"/>
    <w:rsid w:val="001956A6"/>
    <w:rsid w:val="00195D23"/>
    <w:rsid w:val="001968AB"/>
    <w:rsid w:val="001A01BD"/>
    <w:rsid w:val="001A0B2A"/>
    <w:rsid w:val="001A259E"/>
    <w:rsid w:val="001A4D6D"/>
    <w:rsid w:val="001A4F8A"/>
    <w:rsid w:val="001A555B"/>
    <w:rsid w:val="001A5960"/>
    <w:rsid w:val="001A5CB5"/>
    <w:rsid w:val="001A5CB6"/>
    <w:rsid w:val="001A6106"/>
    <w:rsid w:val="001A61CB"/>
    <w:rsid w:val="001A7D34"/>
    <w:rsid w:val="001A7F0D"/>
    <w:rsid w:val="001B0453"/>
    <w:rsid w:val="001B0E14"/>
    <w:rsid w:val="001B123E"/>
    <w:rsid w:val="001B18CC"/>
    <w:rsid w:val="001B2323"/>
    <w:rsid w:val="001B2A2A"/>
    <w:rsid w:val="001B3EDC"/>
    <w:rsid w:val="001B4287"/>
    <w:rsid w:val="001B432D"/>
    <w:rsid w:val="001B4814"/>
    <w:rsid w:val="001B4B88"/>
    <w:rsid w:val="001B4E01"/>
    <w:rsid w:val="001B539F"/>
    <w:rsid w:val="001B5498"/>
    <w:rsid w:val="001B5578"/>
    <w:rsid w:val="001B614B"/>
    <w:rsid w:val="001B6D91"/>
    <w:rsid w:val="001B7AB9"/>
    <w:rsid w:val="001B7BC3"/>
    <w:rsid w:val="001B7BF1"/>
    <w:rsid w:val="001C01D5"/>
    <w:rsid w:val="001C0205"/>
    <w:rsid w:val="001C04B0"/>
    <w:rsid w:val="001C1682"/>
    <w:rsid w:val="001C1895"/>
    <w:rsid w:val="001C1DBC"/>
    <w:rsid w:val="001C3AD1"/>
    <w:rsid w:val="001C4292"/>
    <w:rsid w:val="001C4313"/>
    <w:rsid w:val="001C4E8F"/>
    <w:rsid w:val="001C4F85"/>
    <w:rsid w:val="001C5BBE"/>
    <w:rsid w:val="001C660E"/>
    <w:rsid w:val="001C76AF"/>
    <w:rsid w:val="001D0310"/>
    <w:rsid w:val="001D0AFC"/>
    <w:rsid w:val="001D0EBC"/>
    <w:rsid w:val="001D131E"/>
    <w:rsid w:val="001D1A6A"/>
    <w:rsid w:val="001D1B53"/>
    <w:rsid w:val="001D1BCF"/>
    <w:rsid w:val="001D287D"/>
    <w:rsid w:val="001D33AA"/>
    <w:rsid w:val="001D35DD"/>
    <w:rsid w:val="001D3679"/>
    <w:rsid w:val="001D4268"/>
    <w:rsid w:val="001D4294"/>
    <w:rsid w:val="001D42F6"/>
    <w:rsid w:val="001D43A4"/>
    <w:rsid w:val="001D504B"/>
    <w:rsid w:val="001D52A9"/>
    <w:rsid w:val="001D5637"/>
    <w:rsid w:val="001D5EAC"/>
    <w:rsid w:val="001D6802"/>
    <w:rsid w:val="001D711A"/>
    <w:rsid w:val="001D7169"/>
    <w:rsid w:val="001D7751"/>
    <w:rsid w:val="001E00AD"/>
    <w:rsid w:val="001E0338"/>
    <w:rsid w:val="001E07A7"/>
    <w:rsid w:val="001E1F89"/>
    <w:rsid w:val="001E2A76"/>
    <w:rsid w:val="001E56A4"/>
    <w:rsid w:val="001E611E"/>
    <w:rsid w:val="001E6245"/>
    <w:rsid w:val="001E6EB4"/>
    <w:rsid w:val="001E6FBD"/>
    <w:rsid w:val="001E755D"/>
    <w:rsid w:val="001E7C58"/>
    <w:rsid w:val="001E7E3C"/>
    <w:rsid w:val="001F0260"/>
    <w:rsid w:val="001F06E9"/>
    <w:rsid w:val="001F0907"/>
    <w:rsid w:val="001F1464"/>
    <w:rsid w:val="001F1554"/>
    <w:rsid w:val="001F1604"/>
    <w:rsid w:val="001F1A9A"/>
    <w:rsid w:val="001F1FFC"/>
    <w:rsid w:val="001F2EB7"/>
    <w:rsid w:val="001F4230"/>
    <w:rsid w:val="001F4474"/>
    <w:rsid w:val="001F4B16"/>
    <w:rsid w:val="001F6397"/>
    <w:rsid w:val="001F76C9"/>
    <w:rsid w:val="001F7B8A"/>
    <w:rsid w:val="001F7CCF"/>
    <w:rsid w:val="00200A35"/>
    <w:rsid w:val="00200C6A"/>
    <w:rsid w:val="0020152F"/>
    <w:rsid w:val="00201948"/>
    <w:rsid w:val="00202ABC"/>
    <w:rsid w:val="00202DC7"/>
    <w:rsid w:val="002037DA"/>
    <w:rsid w:val="00203ABE"/>
    <w:rsid w:val="00203AC4"/>
    <w:rsid w:val="00203C2D"/>
    <w:rsid w:val="00203FD2"/>
    <w:rsid w:val="002047A2"/>
    <w:rsid w:val="002049E7"/>
    <w:rsid w:val="00205264"/>
    <w:rsid w:val="002053EC"/>
    <w:rsid w:val="0020565A"/>
    <w:rsid w:val="00205BDA"/>
    <w:rsid w:val="00206DC5"/>
    <w:rsid w:val="00206E69"/>
    <w:rsid w:val="00207312"/>
    <w:rsid w:val="002075CB"/>
    <w:rsid w:val="00207D8B"/>
    <w:rsid w:val="00210576"/>
    <w:rsid w:val="00210796"/>
    <w:rsid w:val="00210E97"/>
    <w:rsid w:val="002112E1"/>
    <w:rsid w:val="00211382"/>
    <w:rsid w:val="00211AD7"/>
    <w:rsid w:val="00211C47"/>
    <w:rsid w:val="00211EBD"/>
    <w:rsid w:val="002120B1"/>
    <w:rsid w:val="002122E1"/>
    <w:rsid w:val="00212CB5"/>
    <w:rsid w:val="0021375A"/>
    <w:rsid w:val="00213F1D"/>
    <w:rsid w:val="00213FF0"/>
    <w:rsid w:val="00214118"/>
    <w:rsid w:val="0021535E"/>
    <w:rsid w:val="0021578D"/>
    <w:rsid w:val="00220EB6"/>
    <w:rsid w:val="00220EEC"/>
    <w:rsid w:val="00220F14"/>
    <w:rsid w:val="002210EA"/>
    <w:rsid w:val="002211DA"/>
    <w:rsid w:val="00221203"/>
    <w:rsid w:val="0022180D"/>
    <w:rsid w:val="00221CE5"/>
    <w:rsid w:val="00221E39"/>
    <w:rsid w:val="0022274B"/>
    <w:rsid w:val="002245E6"/>
    <w:rsid w:val="00226035"/>
    <w:rsid w:val="00226903"/>
    <w:rsid w:val="00227021"/>
    <w:rsid w:val="00227D1E"/>
    <w:rsid w:val="00230402"/>
    <w:rsid w:val="0023097A"/>
    <w:rsid w:val="00230EA4"/>
    <w:rsid w:val="00230F21"/>
    <w:rsid w:val="0023154A"/>
    <w:rsid w:val="00231EFB"/>
    <w:rsid w:val="00233620"/>
    <w:rsid w:val="002351D2"/>
    <w:rsid w:val="00235992"/>
    <w:rsid w:val="002361B9"/>
    <w:rsid w:val="002364CC"/>
    <w:rsid w:val="00240A9A"/>
    <w:rsid w:val="00240BD9"/>
    <w:rsid w:val="00240BFB"/>
    <w:rsid w:val="002437E2"/>
    <w:rsid w:val="002439D7"/>
    <w:rsid w:val="002452FF"/>
    <w:rsid w:val="00245670"/>
    <w:rsid w:val="00245BBF"/>
    <w:rsid w:val="00245C9F"/>
    <w:rsid w:val="00245D99"/>
    <w:rsid w:val="00245E06"/>
    <w:rsid w:val="00245F3A"/>
    <w:rsid w:val="002507F7"/>
    <w:rsid w:val="00250A71"/>
    <w:rsid w:val="00251906"/>
    <w:rsid w:val="0025239F"/>
    <w:rsid w:val="00252528"/>
    <w:rsid w:val="002528A0"/>
    <w:rsid w:val="00253216"/>
    <w:rsid w:val="002544C3"/>
    <w:rsid w:val="00254674"/>
    <w:rsid w:val="00254692"/>
    <w:rsid w:val="00255018"/>
    <w:rsid w:val="0025511F"/>
    <w:rsid w:val="00255149"/>
    <w:rsid w:val="00255835"/>
    <w:rsid w:val="0025596F"/>
    <w:rsid w:val="002567C5"/>
    <w:rsid w:val="00257280"/>
    <w:rsid w:val="00257462"/>
    <w:rsid w:val="0025797E"/>
    <w:rsid w:val="0026086D"/>
    <w:rsid w:val="00260A50"/>
    <w:rsid w:val="00260B12"/>
    <w:rsid w:val="002610BD"/>
    <w:rsid w:val="00261F6D"/>
    <w:rsid w:val="00262571"/>
    <w:rsid w:val="00263034"/>
    <w:rsid w:val="002633E6"/>
    <w:rsid w:val="0026375D"/>
    <w:rsid w:val="00263D2C"/>
    <w:rsid w:val="00263FD2"/>
    <w:rsid w:val="00264CDE"/>
    <w:rsid w:val="00265457"/>
    <w:rsid w:val="00265E6B"/>
    <w:rsid w:val="00266082"/>
    <w:rsid w:val="002662D8"/>
    <w:rsid w:val="00266DAD"/>
    <w:rsid w:val="00266F52"/>
    <w:rsid w:val="00266FDD"/>
    <w:rsid w:val="00267F70"/>
    <w:rsid w:val="00270DA2"/>
    <w:rsid w:val="00270EF4"/>
    <w:rsid w:val="00271851"/>
    <w:rsid w:val="00271917"/>
    <w:rsid w:val="0027220E"/>
    <w:rsid w:val="002724EF"/>
    <w:rsid w:val="00272980"/>
    <w:rsid w:val="00272D15"/>
    <w:rsid w:val="002731F7"/>
    <w:rsid w:val="002734F8"/>
    <w:rsid w:val="002735B4"/>
    <w:rsid w:val="002735BA"/>
    <w:rsid w:val="00273BEB"/>
    <w:rsid w:val="00276037"/>
    <w:rsid w:val="002767A7"/>
    <w:rsid w:val="002768BA"/>
    <w:rsid w:val="00277198"/>
    <w:rsid w:val="00277571"/>
    <w:rsid w:val="002775A5"/>
    <w:rsid w:val="002800DB"/>
    <w:rsid w:val="00281156"/>
    <w:rsid w:val="00281C23"/>
    <w:rsid w:val="00281DBC"/>
    <w:rsid w:val="00281F51"/>
    <w:rsid w:val="002836DA"/>
    <w:rsid w:val="002846C6"/>
    <w:rsid w:val="002851A8"/>
    <w:rsid w:val="002854B6"/>
    <w:rsid w:val="002854DA"/>
    <w:rsid w:val="00285555"/>
    <w:rsid w:val="0028656B"/>
    <w:rsid w:val="002875E4"/>
    <w:rsid w:val="0029103F"/>
    <w:rsid w:val="002913EC"/>
    <w:rsid w:val="002914B8"/>
    <w:rsid w:val="002916B4"/>
    <w:rsid w:val="00291DDF"/>
    <w:rsid w:val="00292A96"/>
    <w:rsid w:val="002932E2"/>
    <w:rsid w:val="002936F8"/>
    <w:rsid w:val="00293D3A"/>
    <w:rsid w:val="002941E6"/>
    <w:rsid w:val="00294204"/>
    <w:rsid w:val="00294262"/>
    <w:rsid w:val="00294D11"/>
    <w:rsid w:val="00295D7A"/>
    <w:rsid w:val="002974EC"/>
    <w:rsid w:val="0029774E"/>
    <w:rsid w:val="002A010A"/>
    <w:rsid w:val="002A04C0"/>
    <w:rsid w:val="002A0E40"/>
    <w:rsid w:val="002A11BA"/>
    <w:rsid w:val="002A1DB5"/>
    <w:rsid w:val="002A2A0A"/>
    <w:rsid w:val="002A359A"/>
    <w:rsid w:val="002A5330"/>
    <w:rsid w:val="002A6DB4"/>
    <w:rsid w:val="002A7C29"/>
    <w:rsid w:val="002B0136"/>
    <w:rsid w:val="002B0D1B"/>
    <w:rsid w:val="002B1186"/>
    <w:rsid w:val="002B137C"/>
    <w:rsid w:val="002B156A"/>
    <w:rsid w:val="002B1C98"/>
    <w:rsid w:val="002B2457"/>
    <w:rsid w:val="002B24B2"/>
    <w:rsid w:val="002B2B6D"/>
    <w:rsid w:val="002B2D5C"/>
    <w:rsid w:val="002B2FAF"/>
    <w:rsid w:val="002B33E6"/>
    <w:rsid w:val="002B38EF"/>
    <w:rsid w:val="002B41A6"/>
    <w:rsid w:val="002B4F61"/>
    <w:rsid w:val="002B5A91"/>
    <w:rsid w:val="002B5B21"/>
    <w:rsid w:val="002B5B25"/>
    <w:rsid w:val="002B6C32"/>
    <w:rsid w:val="002B77A1"/>
    <w:rsid w:val="002B7B71"/>
    <w:rsid w:val="002C0472"/>
    <w:rsid w:val="002C0B64"/>
    <w:rsid w:val="002C0FB5"/>
    <w:rsid w:val="002C13C4"/>
    <w:rsid w:val="002C1602"/>
    <w:rsid w:val="002C1CA3"/>
    <w:rsid w:val="002C1E80"/>
    <w:rsid w:val="002C2DB6"/>
    <w:rsid w:val="002C34FE"/>
    <w:rsid w:val="002C3CE2"/>
    <w:rsid w:val="002C4A5F"/>
    <w:rsid w:val="002C5EE6"/>
    <w:rsid w:val="002C724D"/>
    <w:rsid w:val="002C7BBD"/>
    <w:rsid w:val="002C7C9A"/>
    <w:rsid w:val="002D0126"/>
    <w:rsid w:val="002D0294"/>
    <w:rsid w:val="002D0FB3"/>
    <w:rsid w:val="002D22FD"/>
    <w:rsid w:val="002D26C8"/>
    <w:rsid w:val="002D2ABA"/>
    <w:rsid w:val="002D35A2"/>
    <w:rsid w:val="002D3636"/>
    <w:rsid w:val="002D37CB"/>
    <w:rsid w:val="002D40D9"/>
    <w:rsid w:val="002D44B7"/>
    <w:rsid w:val="002D44CC"/>
    <w:rsid w:val="002D4A51"/>
    <w:rsid w:val="002D4D92"/>
    <w:rsid w:val="002D4DD9"/>
    <w:rsid w:val="002D54CA"/>
    <w:rsid w:val="002D58F8"/>
    <w:rsid w:val="002D5B4F"/>
    <w:rsid w:val="002D5B8D"/>
    <w:rsid w:val="002D5C9F"/>
    <w:rsid w:val="002D5D70"/>
    <w:rsid w:val="002D704B"/>
    <w:rsid w:val="002D72C6"/>
    <w:rsid w:val="002D72F9"/>
    <w:rsid w:val="002D74AC"/>
    <w:rsid w:val="002E0621"/>
    <w:rsid w:val="002E0A7C"/>
    <w:rsid w:val="002E0D49"/>
    <w:rsid w:val="002E10AC"/>
    <w:rsid w:val="002E157E"/>
    <w:rsid w:val="002E17F0"/>
    <w:rsid w:val="002E182D"/>
    <w:rsid w:val="002E18FA"/>
    <w:rsid w:val="002E2D8A"/>
    <w:rsid w:val="002E3460"/>
    <w:rsid w:val="002E4EF8"/>
    <w:rsid w:val="002E55E8"/>
    <w:rsid w:val="002E69EA"/>
    <w:rsid w:val="002E6C45"/>
    <w:rsid w:val="002E7225"/>
    <w:rsid w:val="002E75C6"/>
    <w:rsid w:val="002E7663"/>
    <w:rsid w:val="002E770D"/>
    <w:rsid w:val="002F1525"/>
    <w:rsid w:val="002F1E30"/>
    <w:rsid w:val="002F1F8C"/>
    <w:rsid w:val="002F2428"/>
    <w:rsid w:val="002F2690"/>
    <w:rsid w:val="002F37A9"/>
    <w:rsid w:val="002F3D20"/>
    <w:rsid w:val="002F41A0"/>
    <w:rsid w:val="002F4763"/>
    <w:rsid w:val="002F4ED1"/>
    <w:rsid w:val="002F568F"/>
    <w:rsid w:val="002F5D9B"/>
    <w:rsid w:val="002F7276"/>
    <w:rsid w:val="002F7317"/>
    <w:rsid w:val="002F75C9"/>
    <w:rsid w:val="002F7650"/>
    <w:rsid w:val="002F7668"/>
    <w:rsid w:val="002F7C60"/>
    <w:rsid w:val="002F7ED8"/>
    <w:rsid w:val="003002D7"/>
    <w:rsid w:val="00300B7C"/>
    <w:rsid w:val="00301284"/>
    <w:rsid w:val="00301905"/>
    <w:rsid w:val="0030265D"/>
    <w:rsid w:val="003035A9"/>
    <w:rsid w:val="00303CEE"/>
    <w:rsid w:val="00303D15"/>
    <w:rsid w:val="003046DD"/>
    <w:rsid w:val="0030471F"/>
    <w:rsid w:val="00304B99"/>
    <w:rsid w:val="00304E02"/>
    <w:rsid w:val="0030532A"/>
    <w:rsid w:val="0030581E"/>
    <w:rsid w:val="00305BBC"/>
    <w:rsid w:val="0030620A"/>
    <w:rsid w:val="003067F9"/>
    <w:rsid w:val="0030687A"/>
    <w:rsid w:val="00307721"/>
    <w:rsid w:val="003079E6"/>
    <w:rsid w:val="00307F06"/>
    <w:rsid w:val="00311DA0"/>
    <w:rsid w:val="003137CE"/>
    <w:rsid w:val="0031440D"/>
    <w:rsid w:val="0031582C"/>
    <w:rsid w:val="00316523"/>
    <w:rsid w:val="00316615"/>
    <w:rsid w:val="00316742"/>
    <w:rsid w:val="0031705D"/>
    <w:rsid w:val="003173A2"/>
    <w:rsid w:val="0032371D"/>
    <w:rsid w:val="00323B2C"/>
    <w:rsid w:val="00323B61"/>
    <w:rsid w:val="00324E67"/>
    <w:rsid w:val="00325F74"/>
    <w:rsid w:val="00325FA7"/>
    <w:rsid w:val="00325FE5"/>
    <w:rsid w:val="00326352"/>
    <w:rsid w:val="0032683E"/>
    <w:rsid w:val="0032703A"/>
    <w:rsid w:val="003271BD"/>
    <w:rsid w:val="0033014A"/>
    <w:rsid w:val="0033014E"/>
    <w:rsid w:val="00330EBF"/>
    <w:rsid w:val="00331482"/>
    <w:rsid w:val="0033171D"/>
    <w:rsid w:val="00331ABE"/>
    <w:rsid w:val="003321FC"/>
    <w:rsid w:val="003323B5"/>
    <w:rsid w:val="00332ECF"/>
    <w:rsid w:val="0033355F"/>
    <w:rsid w:val="00333D7C"/>
    <w:rsid w:val="00333F7C"/>
    <w:rsid w:val="0033444E"/>
    <w:rsid w:val="0033457D"/>
    <w:rsid w:val="003348BC"/>
    <w:rsid w:val="00335633"/>
    <w:rsid w:val="00335ED2"/>
    <w:rsid w:val="00335FC5"/>
    <w:rsid w:val="003366E8"/>
    <w:rsid w:val="0033710E"/>
    <w:rsid w:val="0033738B"/>
    <w:rsid w:val="00337923"/>
    <w:rsid w:val="00340AE0"/>
    <w:rsid w:val="00340D68"/>
    <w:rsid w:val="0034131D"/>
    <w:rsid w:val="0034139B"/>
    <w:rsid w:val="00342A1C"/>
    <w:rsid w:val="003445F3"/>
    <w:rsid w:val="00345843"/>
    <w:rsid w:val="00345DB7"/>
    <w:rsid w:val="00346172"/>
    <w:rsid w:val="00347D0C"/>
    <w:rsid w:val="00351397"/>
    <w:rsid w:val="003515C4"/>
    <w:rsid w:val="00352461"/>
    <w:rsid w:val="00352979"/>
    <w:rsid w:val="00352D2B"/>
    <w:rsid w:val="00353D7E"/>
    <w:rsid w:val="00353E1A"/>
    <w:rsid w:val="003551C5"/>
    <w:rsid w:val="00355DA2"/>
    <w:rsid w:val="0035622F"/>
    <w:rsid w:val="003600A5"/>
    <w:rsid w:val="00360284"/>
    <w:rsid w:val="00360A9A"/>
    <w:rsid w:val="00361585"/>
    <w:rsid w:val="0036219A"/>
    <w:rsid w:val="00362B33"/>
    <w:rsid w:val="003637A7"/>
    <w:rsid w:val="00363BC7"/>
    <w:rsid w:val="00364577"/>
    <w:rsid w:val="00364DD5"/>
    <w:rsid w:val="0036563B"/>
    <w:rsid w:val="00365D54"/>
    <w:rsid w:val="003665B4"/>
    <w:rsid w:val="00367892"/>
    <w:rsid w:val="00367CF7"/>
    <w:rsid w:val="003700DD"/>
    <w:rsid w:val="00370C9C"/>
    <w:rsid w:val="00370D1B"/>
    <w:rsid w:val="00370FE6"/>
    <w:rsid w:val="00371184"/>
    <w:rsid w:val="00371561"/>
    <w:rsid w:val="0037315A"/>
    <w:rsid w:val="003742AA"/>
    <w:rsid w:val="00374497"/>
    <w:rsid w:val="00374978"/>
    <w:rsid w:val="00374B77"/>
    <w:rsid w:val="00374C19"/>
    <w:rsid w:val="003752A0"/>
    <w:rsid w:val="003753A7"/>
    <w:rsid w:val="00376E83"/>
    <w:rsid w:val="003770F2"/>
    <w:rsid w:val="00377411"/>
    <w:rsid w:val="00380226"/>
    <w:rsid w:val="00381B00"/>
    <w:rsid w:val="00381C09"/>
    <w:rsid w:val="00381E69"/>
    <w:rsid w:val="00382264"/>
    <w:rsid w:val="00382421"/>
    <w:rsid w:val="003826F3"/>
    <w:rsid w:val="00383BE3"/>
    <w:rsid w:val="00383DE6"/>
    <w:rsid w:val="00383F16"/>
    <w:rsid w:val="00384458"/>
    <w:rsid w:val="0038507A"/>
    <w:rsid w:val="00385A92"/>
    <w:rsid w:val="00387384"/>
    <w:rsid w:val="003878F8"/>
    <w:rsid w:val="00387A72"/>
    <w:rsid w:val="00390245"/>
    <w:rsid w:val="00390373"/>
    <w:rsid w:val="00390DCF"/>
    <w:rsid w:val="00391070"/>
    <w:rsid w:val="003934A6"/>
    <w:rsid w:val="00393753"/>
    <w:rsid w:val="003939E3"/>
    <w:rsid w:val="00394091"/>
    <w:rsid w:val="00394884"/>
    <w:rsid w:val="00394957"/>
    <w:rsid w:val="00394BE3"/>
    <w:rsid w:val="00395142"/>
    <w:rsid w:val="00395675"/>
    <w:rsid w:val="0039668B"/>
    <w:rsid w:val="003967E2"/>
    <w:rsid w:val="00396CBA"/>
    <w:rsid w:val="00397160"/>
    <w:rsid w:val="003975D5"/>
    <w:rsid w:val="00397907"/>
    <w:rsid w:val="00397952"/>
    <w:rsid w:val="00397AEA"/>
    <w:rsid w:val="003A0947"/>
    <w:rsid w:val="003A130A"/>
    <w:rsid w:val="003A1C21"/>
    <w:rsid w:val="003A1DD4"/>
    <w:rsid w:val="003A205C"/>
    <w:rsid w:val="003A2469"/>
    <w:rsid w:val="003A31F9"/>
    <w:rsid w:val="003A3D0C"/>
    <w:rsid w:val="003A5847"/>
    <w:rsid w:val="003A5AB1"/>
    <w:rsid w:val="003A6D82"/>
    <w:rsid w:val="003A7700"/>
    <w:rsid w:val="003A7A86"/>
    <w:rsid w:val="003B0F11"/>
    <w:rsid w:val="003B151C"/>
    <w:rsid w:val="003B2A8D"/>
    <w:rsid w:val="003B2C2F"/>
    <w:rsid w:val="003B40B9"/>
    <w:rsid w:val="003B4B9C"/>
    <w:rsid w:val="003B6198"/>
    <w:rsid w:val="003B7548"/>
    <w:rsid w:val="003B7A38"/>
    <w:rsid w:val="003B7B2A"/>
    <w:rsid w:val="003B7CDA"/>
    <w:rsid w:val="003C0101"/>
    <w:rsid w:val="003C1F47"/>
    <w:rsid w:val="003C2EC5"/>
    <w:rsid w:val="003C2F66"/>
    <w:rsid w:val="003C363F"/>
    <w:rsid w:val="003C368F"/>
    <w:rsid w:val="003C3C89"/>
    <w:rsid w:val="003C4335"/>
    <w:rsid w:val="003C46A7"/>
    <w:rsid w:val="003C524F"/>
    <w:rsid w:val="003C586D"/>
    <w:rsid w:val="003C6B59"/>
    <w:rsid w:val="003C7758"/>
    <w:rsid w:val="003D0B92"/>
    <w:rsid w:val="003D119E"/>
    <w:rsid w:val="003D1778"/>
    <w:rsid w:val="003D1840"/>
    <w:rsid w:val="003D219C"/>
    <w:rsid w:val="003D33B7"/>
    <w:rsid w:val="003D35F5"/>
    <w:rsid w:val="003D55F8"/>
    <w:rsid w:val="003D6999"/>
    <w:rsid w:val="003D6E23"/>
    <w:rsid w:val="003D7BED"/>
    <w:rsid w:val="003E08FC"/>
    <w:rsid w:val="003E0BC0"/>
    <w:rsid w:val="003E0C33"/>
    <w:rsid w:val="003E17C4"/>
    <w:rsid w:val="003E1D4A"/>
    <w:rsid w:val="003E1D87"/>
    <w:rsid w:val="003E23A0"/>
    <w:rsid w:val="003E23F6"/>
    <w:rsid w:val="003E29CF"/>
    <w:rsid w:val="003E39AD"/>
    <w:rsid w:val="003E40FF"/>
    <w:rsid w:val="003E4CBD"/>
    <w:rsid w:val="003E4D2C"/>
    <w:rsid w:val="003E5722"/>
    <w:rsid w:val="003E5982"/>
    <w:rsid w:val="003E5BFA"/>
    <w:rsid w:val="003E6C79"/>
    <w:rsid w:val="003E7153"/>
    <w:rsid w:val="003E79B0"/>
    <w:rsid w:val="003F1580"/>
    <w:rsid w:val="003F1C8A"/>
    <w:rsid w:val="003F1FE9"/>
    <w:rsid w:val="003F46EC"/>
    <w:rsid w:val="003F4927"/>
    <w:rsid w:val="003F521D"/>
    <w:rsid w:val="003F5233"/>
    <w:rsid w:val="003F5A18"/>
    <w:rsid w:val="003F71A0"/>
    <w:rsid w:val="003F73CD"/>
    <w:rsid w:val="003F7A4D"/>
    <w:rsid w:val="003F7B20"/>
    <w:rsid w:val="003F7B37"/>
    <w:rsid w:val="003F7D23"/>
    <w:rsid w:val="00400AE8"/>
    <w:rsid w:val="00400BB9"/>
    <w:rsid w:val="00401250"/>
    <w:rsid w:val="00401F83"/>
    <w:rsid w:val="00402DA7"/>
    <w:rsid w:val="00403D5C"/>
    <w:rsid w:val="00404064"/>
    <w:rsid w:val="00404E25"/>
    <w:rsid w:val="00404E8A"/>
    <w:rsid w:val="0040527F"/>
    <w:rsid w:val="00405973"/>
    <w:rsid w:val="004061F3"/>
    <w:rsid w:val="00406566"/>
    <w:rsid w:val="00407E55"/>
    <w:rsid w:val="00411023"/>
    <w:rsid w:val="0041159B"/>
    <w:rsid w:val="00412176"/>
    <w:rsid w:val="00412302"/>
    <w:rsid w:val="004125B8"/>
    <w:rsid w:val="00412849"/>
    <w:rsid w:val="00412920"/>
    <w:rsid w:val="00413919"/>
    <w:rsid w:val="00413E62"/>
    <w:rsid w:val="004142F7"/>
    <w:rsid w:val="00414DA1"/>
    <w:rsid w:val="004157E6"/>
    <w:rsid w:val="004163A5"/>
    <w:rsid w:val="00416695"/>
    <w:rsid w:val="00416C40"/>
    <w:rsid w:val="00416D3C"/>
    <w:rsid w:val="004172B6"/>
    <w:rsid w:val="004179EA"/>
    <w:rsid w:val="00417E68"/>
    <w:rsid w:val="00417E8E"/>
    <w:rsid w:val="00417FBD"/>
    <w:rsid w:val="00420D13"/>
    <w:rsid w:val="00421470"/>
    <w:rsid w:val="00422012"/>
    <w:rsid w:val="00422973"/>
    <w:rsid w:val="00422EDE"/>
    <w:rsid w:val="00423617"/>
    <w:rsid w:val="00423709"/>
    <w:rsid w:val="00423719"/>
    <w:rsid w:val="00423940"/>
    <w:rsid w:val="00425326"/>
    <w:rsid w:val="0042573A"/>
    <w:rsid w:val="00426343"/>
    <w:rsid w:val="00426369"/>
    <w:rsid w:val="004266A3"/>
    <w:rsid w:val="00426786"/>
    <w:rsid w:val="00426886"/>
    <w:rsid w:val="00427049"/>
    <w:rsid w:val="004332E6"/>
    <w:rsid w:val="00434A73"/>
    <w:rsid w:val="00435890"/>
    <w:rsid w:val="00435BCA"/>
    <w:rsid w:val="00436BC0"/>
    <w:rsid w:val="004372EE"/>
    <w:rsid w:val="0043758B"/>
    <w:rsid w:val="004375FF"/>
    <w:rsid w:val="00441263"/>
    <w:rsid w:val="004416DA"/>
    <w:rsid w:val="004416FC"/>
    <w:rsid w:val="00441817"/>
    <w:rsid w:val="00441820"/>
    <w:rsid w:val="00441919"/>
    <w:rsid w:val="00441BC3"/>
    <w:rsid w:val="00442120"/>
    <w:rsid w:val="004423DA"/>
    <w:rsid w:val="004437FE"/>
    <w:rsid w:val="00444274"/>
    <w:rsid w:val="004442AC"/>
    <w:rsid w:val="0044441C"/>
    <w:rsid w:val="00444E24"/>
    <w:rsid w:val="00445816"/>
    <w:rsid w:val="00445A2D"/>
    <w:rsid w:val="00446AB1"/>
    <w:rsid w:val="00446BC5"/>
    <w:rsid w:val="00446EBB"/>
    <w:rsid w:val="00447193"/>
    <w:rsid w:val="0044763F"/>
    <w:rsid w:val="00447BF5"/>
    <w:rsid w:val="0044933D"/>
    <w:rsid w:val="0045019B"/>
    <w:rsid w:val="0045046C"/>
    <w:rsid w:val="0045095A"/>
    <w:rsid w:val="00451855"/>
    <w:rsid w:val="004527F2"/>
    <w:rsid w:val="00452BD9"/>
    <w:rsid w:val="0045309E"/>
    <w:rsid w:val="00453674"/>
    <w:rsid w:val="0045387A"/>
    <w:rsid w:val="0045390B"/>
    <w:rsid w:val="00454356"/>
    <w:rsid w:val="00454974"/>
    <w:rsid w:val="00455B16"/>
    <w:rsid w:val="00455F67"/>
    <w:rsid w:val="004564B6"/>
    <w:rsid w:val="00457139"/>
    <w:rsid w:val="0045776A"/>
    <w:rsid w:val="00457AD2"/>
    <w:rsid w:val="00457B8F"/>
    <w:rsid w:val="00457C2B"/>
    <w:rsid w:val="00460A96"/>
    <w:rsid w:val="004614DE"/>
    <w:rsid w:val="00461B1B"/>
    <w:rsid w:val="00463815"/>
    <w:rsid w:val="00463BFC"/>
    <w:rsid w:val="0046456C"/>
    <w:rsid w:val="004649DF"/>
    <w:rsid w:val="00465B8B"/>
    <w:rsid w:val="00466DEE"/>
    <w:rsid w:val="00467D15"/>
    <w:rsid w:val="00467DEA"/>
    <w:rsid w:val="00467F99"/>
    <w:rsid w:val="00471558"/>
    <w:rsid w:val="0047165D"/>
    <w:rsid w:val="00471779"/>
    <w:rsid w:val="00471D2C"/>
    <w:rsid w:val="00471F02"/>
    <w:rsid w:val="00472585"/>
    <w:rsid w:val="00473E3E"/>
    <w:rsid w:val="00475219"/>
    <w:rsid w:val="00475780"/>
    <w:rsid w:val="00475C90"/>
    <w:rsid w:val="004762F5"/>
    <w:rsid w:val="00477199"/>
    <w:rsid w:val="004771C8"/>
    <w:rsid w:val="004774A9"/>
    <w:rsid w:val="0047752B"/>
    <w:rsid w:val="00477625"/>
    <w:rsid w:val="00477669"/>
    <w:rsid w:val="00477EE0"/>
    <w:rsid w:val="004804C1"/>
    <w:rsid w:val="00480634"/>
    <w:rsid w:val="00481407"/>
    <w:rsid w:val="00481D31"/>
    <w:rsid w:val="00482AA6"/>
    <w:rsid w:val="00482FF7"/>
    <w:rsid w:val="0048373C"/>
    <w:rsid w:val="0048429E"/>
    <w:rsid w:val="0048451A"/>
    <w:rsid w:val="004852D0"/>
    <w:rsid w:val="004856B1"/>
    <w:rsid w:val="00485B38"/>
    <w:rsid w:val="004863CF"/>
    <w:rsid w:val="00486519"/>
    <w:rsid w:val="004869F8"/>
    <w:rsid w:val="004872FA"/>
    <w:rsid w:val="004873EE"/>
    <w:rsid w:val="00487437"/>
    <w:rsid w:val="00487972"/>
    <w:rsid w:val="00487A78"/>
    <w:rsid w:val="00490308"/>
    <w:rsid w:val="00490337"/>
    <w:rsid w:val="004928DB"/>
    <w:rsid w:val="00492BAA"/>
    <w:rsid w:val="00492C3F"/>
    <w:rsid w:val="00493E61"/>
    <w:rsid w:val="004948EE"/>
    <w:rsid w:val="00494D66"/>
    <w:rsid w:val="00494FE4"/>
    <w:rsid w:val="004951D7"/>
    <w:rsid w:val="004955BB"/>
    <w:rsid w:val="0049579E"/>
    <w:rsid w:val="00495AB0"/>
    <w:rsid w:val="00495E3D"/>
    <w:rsid w:val="00497555"/>
    <w:rsid w:val="004978EA"/>
    <w:rsid w:val="004A0C10"/>
    <w:rsid w:val="004A212D"/>
    <w:rsid w:val="004A2132"/>
    <w:rsid w:val="004A25EE"/>
    <w:rsid w:val="004A279B"/>
    <w:rsid w:val="004A279C"/>
    <w:rsid w:val="004A27FB"/>
    <w:rsid w:val="004A2852"/>
    <w:rsid w:val="004A3F18"/>
    <w:rsid w:val="004A48FD"/>
    <w:rsid w:val="004A5137"/>
    <w:rsid w:val="004A5417"/>
    <w:rsid w:val="004A5539"/>
    <w:rsid w:val="004A5AB8"/>
    <w:rsid w:val="004A653D"/>
    <w:rsid w:val="004A6EF2"/>
    <w:rsid w:val="004A7102"/>
    <w:rsid w:val="004A73B7"/>
    <w:rsid w:val="004A75ED"/>
    <w:rsid w:val="004A7B2A"/>
    <w:rsid w:val="004A7B47"/>
    <w:rsid w:val="004B0028"/>
    <w:rsid w:val="004B0B5E"/>
    <w:rsid w:val="004B0B74"/>
    <w:rsid w:val="004B0C61"/>
    <w:rsid w:val="004B11DA"/>
    <w:rsid w:val="004B12DF"/>
    <w:rsid w:val="004B1615"/>
    <w:rsid w:val="004B1D98"/>
    <w:rsid w:val="004B24C3"/>
    <w:rsid w:val="004B3242"/>
    <w:rsid w:val="004B3827"/>
    <w:rsid w:val="004B3DE1"/>
    <w:rsid w:val="004B4055"/>
    <w:rsid w:val="004B4315"/>
    <w:rsid w:val="004B43B5"/>
    <w:rsid w:val="004B4ADA"/>
    <w:rsid w:val="004B4B07"/>
    <w:rsid w:val="004B5E02"/>
    <w:rsid w:val="004B60EF"/>
    <w:rsid w:val="004B6872"/>
    <w:rsid w:val="004B7A54"/>
    <w:rsid w:val="004B7A74"/>
    <w:rsid w:val="004B7CC5"/>
    <w:rsid w:val="004C026D"/>
    <w:rsid w:val="004C0AFB"/>
    <w:rsid w:val="004C1384"/>
    <w:rsid w:val="004C178C"/>
    <w:rsid w:val="004C3405"/>
    <w:rsid w:val="004C360A"/>
    <w:rsid w:val="004C5204"/>
    <w:rsid w:val="004C5364"/>
    <w:rsid w:val="004C6363"/>
    <w:rsid w:val="004C681E"/>
    <w:rsid w:val="004C7E2E"/>
    <w:rsid w:val="004D0C8D"/>
    <w:rsid w:val="004D1745"/>
    <w:rsid w:val="004D17A5"/>
    <w:rsid w:val="004D1F60"/>
    <w:rsid w:val="004D21FE"/>
    <w:rsid w:val="004D3044"/>
    <w:rsid w:val="004D3E54"/>
    <w:rsid w:val="004D41B1"/>
    <w:rsid w:val="004D5418"/>
    <w:rsid w:val="004D5427"/>
    <w:rsid w:val="004D5D97"/>
    <w:rsid w:val="004D6A4F"/>
    <w:rsid w:val="004D7729"/>
    <w:rsid w:val="004D7893"/>
    <w:rsid w:val="004D799A"/>
    <w:rsid w:val="004E0453"/>
    <w:rsid w:val="004E07DD"/>
    <w:rsid w:val="004E0BF7"/>
    <w:rsid w:val="004E12F3"/>
    <w:rsid w:val="004E184F"/>
    <w:rsid w:val="004E2EBC"/>
    <w:rsid w:val="004E33BD"/>
    <w:rsid w:val="004E3738"/>
    <w:rsid w:val="004E3811"/>
    <w:rsid w:val="004E4D70"/>
    <w:rsid w:val="004E602A"/>
    <w:rsid w:val="004E620C"/>
    <w:rsid w:val="004E695E"/>
    <w:rsid w:val="004E7144"/>
    <w:rsid w:val="004E7507"/>
    <w:rsid w:val="004E7843"/>
    <w:rsid w:val="004F02E9"/>
    <w:rsid w:val="004F09BE"/>
    <w:rsid w:val="004F29EA"/>
    <w:rsid w:val="004F2E30"/>
    <w:rsid w:val="004F3230"/>
    <w:rsid w:val="004F3864"/>
    <w:rsid w:val="004F39B0"/>
    <w:rsid w:val="004F3A71"/>
    <w:rsid w:val="004F3F92"/>
    <w:rsid w:val="004F4A6C"/>
    <w:rsid w:val="004F54FD"/>
    <w:rsid w:val="004F55FE"/>
    <w:rsid w:val="004F5B9B"/>
    <w:rsid w:val="004F5DD8"/>
    <w:rsid w:val="004F66A5"/>
    <w:rsid w:val="004F66CE"/>
    <w:rsid w:val="004F66EF"/>
    <w:rsid w:val="004F6732"/>
    <w:rsid w:val="004F74AF"/>
    <w:rsid w:val="004FDE99"/>
    <w:rsid w:val="005020BA"/>
    <w:rsid w:val="0050270D"/>
    <w:rsid w:val="00502810"/>
    <w:rsid w:val="00502C7A"/>
    <w:rsid w:val="00502D76"/>
    <w:rsid w:val="00503C3B"/>
    <w:rsid w:val="00504021"/>
    <w:rsid w:val="00504026"/>
    <w:rsid w:val="0050434E"/>
    <w:rsid w:val="00504C2B"/>
    <w:rsid w:val="005055FA"/>
    <w:rsid w:val="00506245"/>
    <w:rsid w:val="0050673A"/>
    <w:rsid w:val="0050689F"/>
    <w:rsid w:val="005069EA"/>
    <w:rsid w:val="00506DC2"/>
    <w:rsid w:val="00506FD0"/>
    <w:rsid w:val="00507145"/>
    <w:rsid w:val="0050740E"/>
    <w:rsid w:val="00510AEA"/>
    <w:rsid w:val="00511598"/>
    <w:rsid w:val="00511A4D"/>
    <w:rsid w:val="00511DD6"/>
    <w:rsid w:val="00511EDE"/>
    <w:rsid w:val="00511F9E"/>
    <w:rsid w:val="0051203D"/>
    <w:rsid w:val="00512266"/>
    <w:rsid w:val="00513701"/>
    <w:rsid w:val="00513A3D"/>
    <w:rsid w:val="00513B58"/>
    <w:rsid w:val="005145EC"/>
    <w:rsid w:val="00514DB0"/>
    <w:rsid w:val="00515108"/>
    <w:rsid w:val="00515234"/>
    <w:rsid w:val="00515B32"/>
    <w:rsid w:val="00515B8E"/>
    <w:rsid w:val="00515D7F"/>
    <w:rsid w:val="00516881"/>
    <w:rsid w:val="0051691D"/>
    <w:rsid w:val="00517A0F"/>
    <w:rsid w:val="00517A75"/>
    <w:rsid w:val="00517F33"/>
    <w:rsid w:val="00520039"/>
    <w:rsid w:val="005215A6"/>
    <w:rsid w:val="0052162F"/>
    <w:rsid w:val="00521963"/>
    <w:rsid w:val="00521FD7"/>
    <w:rsid w:val="00522026"/>
    <w:rsid w:val="00523650"/>
    <w:rsid w:val="00523F48"/>
    <w:rsid w:val="00525887"/>
    <w:rsid w:val="005266CC"/>
    <w:rsid w:val="0052695F"/>
    <w:rsid w:val="00526CE0"/>
    <w:rsid w:val="005303D6"/>
    <w:rsid w:val="00530827"/>
    <w:rsid w:val="00530D6D"/>
    <w:rsid w:val="00530FEC"/>
    <w:rsid w:val="00531643"/>
    <w:rsid w:val="00531688"/>
    <w:rsid w:val="00531AAF"/>
    <w:rsid w:val="00531B4B"/>
    <w:rsid w:val="00531D0E"/>
    <w:rsid w:val="00532EC5"/>
    <w:rsid w:val="005332DF"/>
    <w:rsid w:val="005333EF"/>
    <w:rsid w:val="005338E9"/>
    <w:rsid w:val="00533C25"/>
    <w:rsid w:val="005340AC"/>
    <w:rsid w:val="005342D4"/>
    <w:rsid w:val="00535100"/>
    <w:rsid w:val="005351E4"/>
    <w:rsid w:val="00536123"/>
    <w:rsid w:val="00536162"/>
    <w:rsid w:val="00536D0F"/>
    <w:rsid w:val="00536F17"/>
    <w:rsid w:val="00537025"/>
    <w:rsid w:val="005371A2"/>
    <w:rsid w:val="0053744C"/>
    <w:rsid w:val="0053767B"/>
    <w:rsid w:val="00537727"/>
    <w:rsid w:val="00537F4E"/>
    <w:rsid w:val="0054027D"/>
    <w:rsid w:val="005410A9"/>
    <w:rsid w:val="00541277"/>
    <w:rsid w:val="005420AE"/>
    <w:rsid w:val="005422D6"/>
    <w:rsid w:val="00542E8D"/>
    <w:rsid w:val="0054309D"/>
    <w:rsid w:val="00543BE0"/>
    <w:rsid w:val="005440AF"/>
    <w:rsid w:val="005442BF"/>
    <w:rsid w:val="00544854"/>
    <w:rsid w:val="00544C4A"/>
    <w:rsid w:val="00545AA5"/>
    <w:rsid w:val="005464B4"/>
    <w:rsid w:val="00546937"/>
    <w:rsid w:val="0054693E"/>
    <w:rsid w:val="00550004"/>
    <w:rsid w:val="0055150D"/>
    <w:rsid w:val="00551C11"/>
    <w:rsid w:val="00552493"/>
    <w:rsid w:val="00553662"/>
    <w:rsid w:val="00553CC8"/>
    <w:rsid w:val="005541FC"/>
    <w:rsid w:val="00554B15"/>
    <w:rsid w:val="00554BC9"/>
    <w:rsid w:val="00555695"/>
    <w:rsid w:val="0055620B"/>
    <w:rsid w:val="00556B75"/>
    <w:rsid w:val="00557455"/>
    <w:rsid w:val="0055753B"/>
    <w:rsid w:val="00557A34"/>
    <w:rsid w:val="00557B67"/>
    <w:rsid w:val="00557E3F"/>
    <w:rsid w:val="0056071A"/>
    <w:rsid w:val="005607B4"/>
    <w:rsid w:val="00560868"/>
    <w:rsid w:val="00560CED"/>
    <w:rsid w:val="00560FEA"/>
    <w:rsid w:val="0056173A"/>
    <w:rsid w:val="00561C67"/>
    <w:rsid w:val="00561D60"/>
    <w:rsid w:val="005620A4"/>
    <w:rsid w:val="00562B6C"/>
    <w:rsid w:val="00562C04"/>
    <w:rsid w:val="00564A9E"/>
    <w:rsid w:val="00564D7B"/>
    <w:rsid w:val="00564FAE"/>
    <w:rsid w:val="00566CC4"/>
    <w:rsid w:val="00567648"/>
    <w:rsid w:val="00567C43"/>
    <w:rsid w:val="0056D72D"/>
    <w:rsid w:val="0057084E"/>
    <w:rsid w:val="00571292"/>
    <w:rsid w:val="005717A7"/>
    <w:rsid w:val="00572A6D"/>
    <w:rsid w:val="00572C17"/>
    <w:rsid w:val="005737B9"/>
    <w:rsid w:val="00575E75"/>
    <w:rsid w:val="0057658D"/>
    <w:rsid w:val="005777A2"/>
    <w:rsid w:val="00577965"/>
    <w:rsid w:val="00577BF9"/>
    <w:rsid w:val="00577CBB"/>
    <w:rsid w:val="0058009F"/>
    <w:rsid w:val="00580517"/>
    <w:rsid w:val="00581252"/>
    <w:rsid w:val="00582113"/>
    <w:rsid w:val="00582251"/>
    <w:rsid w:val="0058259D"/>
    <w:rsid w:val="005829A0"/>
    <w:rsid w:val="00583337"/>
    <w:rsid w:val="005846DF"/>
    <w:rsid w:val="0058478D"/>
    <w:rsid w:val="00584927"/>
    <w:rsid w:val="00584BB8"/>
    <w:rsid w:val="00584F66"/>
    <w:rsid w:val="00586090"/>
    <w:rsid w:val="00586125"/>
    <w:rsid w:val="0058612B"/>
    <w:rsid w:val="00586429"/>
    <w:rsid w:val="005867C7"/>
    <w:rsid w:val="00587493"/>
    <w:rsid w:val="00587666"/>
    <w:rsid w:val="00587BA7"/>
    <w:rsid w:val="005908E5"/>
    <w:rsid w:val="00590A21"/>
    <w:rsid w:val="00591038"/>
    <w:rsid w:val="00591A0B"/>
    <w:rsid w:val="005920CB"/>
    <w:rsid w:val="0059270C"/>
    <w:rsid w:val="00593B4F"/>
    <w:rsid w:val="00594081"/>
    <w:rsid w:val="00594426"/>
    <w:rsid w:val="00594669"/>
    <w:rsid w:val="0059493C"/>
    <w:rsid w:val="00594997"/>
    <w:rsid w:val="005953A4"/>
    <w:rsid w:val="00595FC5"/>
    <w:rsid w:val="0059681B"/>
    <w:rsid w:val="00596C71"/>
    <w:rsid w:val="00596FE4"/>
    <w:rsid w:val="00597644"/>
    <w:rsid w:val="005977AC"/>
    <w:rsid w:val="005A06B3"/>
    <w:rsid w:val="005A0EBE"/>
    <w:rsid w:val="005A2962"/>
    <w:rsid w:val="005A2D7F"/>
    <w:rsid w:val="005A319F"/>
    <w:rsid w:val="005A3528"/>
    <w:rsid w:val="005A3687"/>
    <w:rsid w:val="005A3957"/>
    <w:rsid w:val="005A4C08"/>
    <w:rsid w:val="005A51A7"/>
    <w:rsid w:val="005A61E9"/>
    <w:rsid w:val="005B0192"/>
    <w:rsid w:val="005B03FC"/>
    <w:rsid w:val="005B1079"/>
    <w:rsid w:val="005B118F"/>
    <w:rsid w:val="005B1D2C"/>
    <w:rsid w:val="005B200B"/>
    <w:rsid w:val="005B2C73"/>
    <w:rsid w:val="005B3638"/>
    <w:rsid w:val="005B40B0"/>
    <w:rsid w:val="005B68B0"/>
    <w:rsid w:val="005B708A"/>
    <w:rsid w:val="005B7858"/>
    <w:rsid w:val="005C0FB4"/>
    <w:rsid w:val="005C29BE"/>
    <w:rsid w:val="005C305D"/>
    <w:rsid w:val="005C30E4"/>
    <w:rsid w:val="005C37EF"/>
    <w:rsid w:val="005C3A6D"/>
    <w:rsid w:val="005C59D6"/>
    <w:rsid w:val="005C5E38"/>
    <w:rsid w:val="005C6029"/>
    <w:rsid w:val="005C66CB"/>
    <w:rsid w:val="005C6A96"/>
    <w:rsid w:val="005C78E5"/>
    <w:rsid w:val="005C7ADB"/>
    <w:rsid w:val="005C7E62"/>
    <w:rsid w:val="005D023B"/>
    <w:rsid w:val="005D02FF"/>
    <w:rsid w:val="005D06BB"/>
    <w:rsid w:val="005D06E0"/>
    <w:rsid w:val="005D0D46"/>
    <w:rsid w:val="005D158F"/>
    <w:rsid w:val="005D1F20"/>
    <w:rsid w:val="005D23FA"/>
    <w:rsid w:val="005D304F"/>
    <w:rsid w:val="005D4981"/>
    <w:rsid w:val="005D4C2E"/>
    <w:rsid w:val="005D4D7D"/>
    <w:rsid w:val="005D4DE3"/>
    <w:rsid w:val="005D537D"/>
    <w:rsid w:val="005D53A1"/>
    <w:rsid w:val="005D5812"/>
    <w:rsid w:val="005D58B8"/>
    <w:rsid w:val="005D5F77"/>
    <w:rsid w:val="005D616C"/>
    <w:rsid w:val="005D6D62"/>
    <w:rsid w:val="005E01F9"/>
    <w:rsid w:val="005E0299"/>
    <w:rsid w:val="005E074A"/>
    <w:rsid w:val="005E0C7D"/>
    <w:rsid w:val="005E2443"/>
    <w:rsid w:val="005E29AE"/>
    <w:rsid w:val="005E2AFC"/>
    <w:rsid w:val="005E4ABD"/>
    <w:rsid w:val="005E4FED"/>
    <w:rsid w:val="005E56D2"/>
    <w:rsid w:val="005E5F5C"/>
    <w:rsid w:val="005E63FE"/>
    <w:rsid w:val="005E670F"/>
    <w:rsid w:val="005E671E"/>
    <w:rsid w:val="005E7A0F"/>
    <w:rsid w:val="005E7C6E"/>
    <w:rsid w:val="005E7D9F"/>
    <w:rsid w:val="005E7DE8"/>
    <w:rsid w:val="005F0BFE"/>
    <w:rsid w:val="005F111A"/>
    <w:rsid w:val="005F1430"/>
    <w:rsid w:val="005F14F6"/>
    <w:rsid w:val="005F21DF"/>
    <w:rsid w:val="005F2646"/>
    <w:rsid w:val="005F30DA"/>
    <w:rsid w:val="005F35E9"/>
    <w:rsid w:val="005F3AC8"/>
    <w:rsid w:val="005F3EA9"/>
    <w:rsid w:val="005F494C"/>
    <w:rsid w:val="005F4E21"/>
    <w:rsid w:val="005F580E"/>
    <w:rsid w:val="005F5DF6"/>
    <w:rsid w:val="005F7745"/>
    <w:rsid w:val="00600BA2"/>
    <w:rsid w:val="00600C19"/>
    <w:rsid w:val="00600D79"/>
    <w:rsid w:val="00601397"/>
    <w:rsid w:val="00601656"/>
    <w:rsid w:val="00602A6E"/>
    <w:rsid w:val="00602AD4"/>
    <w:rsid w:val="00603A84"/>
    <w:rsid w:val="00603E4C"/>
    <w:rsid w:val="00604906"/>
    <w:rsid w:val="00604CEE"/>
    <w:rsid w:val="00605942"/>
    <w:rsid w:val="0060595E"/>
    <w:rsid w:val="00606BC0"/>
    <w:rsid w:val="00606F9A"/>
    <w:rsid w:val="00607282"/>
    <w:rsid w:val="00607858"/>
    <w:rsid w:val="00607888"/>
    <w:rsid w:val="006107EE"/>
    <w:rsid w:val="006109BD"/>
    <w:rsid w:val="00610F4A"/>
    <w:rsid w:val="00611938"/>
    <w:rsid w:val="006120AB"/>
    <w:rsid w:val="00612257"/>
    <w:rsid w:val="006124F6"/>
    <w:rsid w:val="00612E0D"/>
    <w:rsid w:val="00612FDB"/>
    <w:rsid w:val="00613DEC"/>
    <w:rsid w:val="00613E7C"/>
    <w:rsid w:val="00614B15"/>
    <w:rsid w:val="00615D70"/>
    <w:rsid w:val="00616099"/>
    <w:rsid w:val="006162A3"/>
    <w:rsid w:val="006166D3"/>
    <w:rsid w:val="00616F13"/>
    <w:rsid w:val="00617AB2"/>
    <w:rsid w:val="006203FE"/>
    <w:rsid w:val="00620BAE"/>
    <w:rsid w:val="00620C12"/>
    <w:rsid w:val="006215FB"/>
    <w:rsid w:val="00622248"/>
    <w:rsid w:val="00622791"/>
    <w:rsid w:val="0062339E"/>
    <w:rsid w:val="00623A30"/>
    <w:rsid w:val="00623BF3"/>
    <w:rsid w:val="00623FF7"/>
    <w:rsid w:val="006240BC"/>
    <w:rsid w:val="00624DDB"/>
    <w:rsid w:val="006268E6"/>
    <w:rsid w:val="00626B09"/>
    <w:rsid w:val="00626C3D"/>
    <w:rsid w:val="006300B4"/>
    <w:rsid w:val="00630DFD"/>
    <w:rsid w:val="00630EC0"/>
    <w:rsid w:val="006311F9"/>
    <w:rsid w:val="00631A07"/>
    <w:rsid w:val="00631AD0"/>
    <w:rsid w:val="006320FD"/>
    <w:rsid w:val="00632DFD"/>
    <w:rsid w:val="0063329F"/>
    <w:rsid w:val="006339DC"/>
    <w:rsid w:val="00634CF4"/>
    <w:rsid w:val="00635693"/>
    <w:rsid w:val="00635B04"/>
    <w:rsid w:val="00636CFE"/>
    <w:rsid w:val="006371C3"/>
    <w:rsid w:val="00637394"/>
    <w:rsid w:val="00640061"/>
    <w:rsid w:val="006405A4"/>
    <w:rsid w:val="00640784"/>
    <w:rsid w:val="00640A3E"/>
    <w:rsid w:val="00640C59"/>
    <w:rsid w:val="00640E52"/>
    <w:rsid w:val="00641C14"/>
    <w:rsid w:val="0064214C"/>
    <w:rsid w:val="006424A4"/>
    <w:rsid w:val="00642BA4"/>
    <w:rsid w:val="0064391D"/>
    <w:rsid w:val="00643AD2"/>
    <w:rsid w:val="0064437F"/>
    <w:rsid w:val="006458D2"/>
    <w:rsid w:val="00645B4F"/>
    <w:rsid w:val="00646201"/>
    <w:rsid w:val="00646425"/>
    <w:rsid w:val="00646EC3"/>
    <w:rsid w:val="006475E1"/>
    <w:rsid w:val="0065062C"/>
    <w:rsid w:val="00650BEE"/>
    <w:rsid w:val="006514AA"/>
    <w:rsid w:val="006524A8"/>
    <w:rsid w:val="0065495C"/>
    <w:rsid w:val="00654A6F"/>
    <w:rsid w:val="00655968"/>
    <w:rsid w:val="00655BFA"/>
    <w:rsid w:val="00656568"/>
    <w:rsid w:val="006566C7"/>
    <w:rsid w:val="006567C6"/>
    <w:rsid w:val="00656BB4"/>
    <w:rsid w:val="0066022E"/>
    <w:rsid w:val="006602D6"/>
    <w:rsid w:val="0066048B"/>
    <w:rsid w:val="00660A0A"/>
    <w:rsid w:val="0066127F"/>
    <w:rsid w:val="006622B5"/>
    <w:rsid w:val="00662753"/>
    <w:rsid w:val="00662D34"/>
    <w:rsid w:val="00662F25"/>
    <w:rsid w:val="00662FC0"/>
    <w:rsid w:val="006631D9"/>
    <w:rsid w:val="00663F51"/>
    <w:rsid w:val="006643D1"/>
    <w:rsid w:val="00664A08"/>
    <w:rsid w:val="00664B70"/>
    <w:rsid w:val="00664F36"/>
    <w:rsid w:val="006651E3"/>
    <w:rsid w:val="006652DF"/>
    <w:rsid w:val="00665C9C"/>
    <w:rsid w:val="00665D2D"/>
    <w:rsid w:val="006663B6"/>
    <w:rsid w:val="0066658D"/>
    <w:rsid w:val="00666979"/>
    <w:rsid w:val="0066E753"/>
    <w:rsid w:val="006704CF"/>
    <w:rsid w:val="00670C11"/>
    <w:rsid w:val="006718E6"/>
    <w:rsid w:val="006720D4"/>
    <w:rsid w:val="006724C2"/>
    <w:rsid w:val="006728F7"/>
    <w:rsid w:val="00672A29"/>
    <w:rsid w:val="00673ACB"/>
    <w:rsid w:val="006748A5"/>
    <w:rsid w:val="00674BF8"/>
    <w:rsid w:val="00674D4B"/>
    <w:rsid w:val="00675985"/>
    <w:rsid w:val="00675BE0"/>
    <w:rsid w:val="00677E53"/>
    <w:rsid w:val="006804C2"/>
    <w:rsid w:val="00681B3E"/>
    <w:rsid w:val="00681D43"/>
    <w:rsid w:val="006821C0"/>
    <w:rsid w:val="006823D3"/>
    <w:rsid w:val="0068308A"/>
    <w:rsid w:val="006837E4"/>
    <w:rsid w:val="00683B28"/>
    <w:rsid w:val="00683C48"/>
    <w:rsid w:val="0068440E"/>
    <w:rsid w:val="006844A0"/>
    <w:rsid w:val="00684B58"/>
    <w:rsid w:val="00684E8F"/>
    <w:rsid w:val="0068537D"/>
    <w:rsid w:val="00685CC2"/>
    <w:rsid w:val="00685F58"/>
    <w:rsid w:val="00686816"/>
    <w:rsid w:val="00687993"/>
    <w:rsid w:val="00687C1F"/>
    <w:rsid w:val="00690183"/>
    <w:rsid w:val="006901E9"/>
    <w:rsid w:val="00690329"/>
    <w:rsid w:val="00690701"/>
    <w:rsid w:val="006908AD"/>
    <w:rsid w:val="00690B79"/>
    <w:rsid w:val="00691ACB"/>
    <w:rsid w:val="00691D8F"/>
    <w:rsid w:val="00692AC3"/>
    <w:rsid w:val="00693741"/>
    <w:rsid w:val="00694B71"/>
    <w:rsid w:val="00695D29"/>
    <w:rsid w:val="0069648B"/>
    <w:rsid w:val="006965C2"/>
    <w:rsid w:val="00696CBA"/>
    <w:rsid w:val="00697265"/>
    <w:rsid w:val="006972D7"/>
    <w:rsid w:val="006973C3"/>
    <w:rsid w:val="006A0517"/>
    <w:rsid w:val="006A0628"/>
    <w:rsid w:val="006A0DCF"/>
    <w:rsid w:val="006A146E"/>
    <w:rsid w:val="006A1F4A"/>
    <w:rsid w:val="006A2976"/>
    <w:rsid w:val="006A2A06"/>
    <w:rsid w:val="006A32C1"/>
    <w:rsid w:val="006A364B"/>
    <w:rsid w:val="006A38A9"/>
    <w:rsid w:val="006A3F1B"/>
    <w:rsid w:val="006A4E4F"/>
    <w:rsid w:val="006A5640"/>
    <w:rsid w:val="006A5C5C"/>
    <w:rsid w:val="006A5DB5"/>
    <w:rsid w:val="006A6200"/>
    <w:rsid w:val="006A68EE"/>
    <w:rsid w:val="006A6C5B"/>
    <w:rsid w:val="006A71CC"/>
    <w:rsid w:val="006A753C"/>
    <w:rsid w:val="006A76E6"/>
    <w:rsid w:val="006A79FB"/>
    <w:rsid w:val="006A7B87"/>
    <w:rsid w:val="006B079B"/>
    <w:rsid w:val="006B07DE"/>
    <w:rsid w:val="006B0AB2"/>
    <w:rsid w:val="006B0C24"/>
    <w:rsid w:val="006B0F2F"/>
    <w:rsid w:val="006B11C3"/>
    <w:rsid w:val="006B169B"/>
    <w:rsid w:val="006B1E57"/>
    <w:rsid w:val="006B25AD"/>
    <w:rsid w:val="006B2C47"/>
    <w:rsid w:val="006B2E73"/>
    <w:rsid w:val="006B32DA"/>
    <w:rsid w:val="006B43BE"/>
    <w:rsid w:val="006B4C61"/>
    <w:rsid w:val="006B4F70"/>
    <w:rsid w:val="006B556F"/>
    <w:rsid w:val="006B5C06"/>
    <w:rsid w:val="006B686E"/>
    <w:rsid w:val="006B6EAF"/>
    <w:rsid w:val="006B7221"/>
    <w:rsid w:val="006B73ED"/>
    <w:rsid w:val="006B7E9E"/>
    <w:rsid w:val="006B9EE5"/>
    <w:rsid w:val="006C0A05"/>
    <w:rsid w:val="006C0BE1"/>
    <w:rsid w:val="006C0E40"/>
    <w:rsid w:val="006C193B"/>
    <w:rsid w:val="006C1A6F"/>
    <w:rsid w:val="006C29EE"/>
    <w:rsid w:val="006C2D4C"/>
    <w:rsid w:val="006C3F3D"/>
    <w:rsid w:val="006C4419"/>
    <w:rsid w:val="006C6736"/>
    <w:rsid w:val="006C6A32"/>
    <w:rsid w:val="006C6AE4"/>
    <w:rsid w:val="006C6F27"/>
    <w:rsid w:val="006C7A84"/>
    <w:rsid w:val="006D001D"/>
    <w:rsid w:val="006D04E0"/>
    <w:rsid w:val="006D0D81"/>
    <w:rsid w:val="006D165F"/>
    <w:rsid w:val="006D1F06"/>
    <w:rsid w:val="006D237F"/>
    <w:rsid w:val="006D2F29"/>
    <w:rsid w:val="006D38C7"/>
    <w:rsid w:val="006D4350"/>
    <w:rsid w:val="006D4AC8"/>
    <w:rsid w:val="006D5699"/>
    <w:rsid w:val="006D5F78"/>
    <w:rsid w:val="006D671C"/>
    <w:rsid w:val="006D694E"/>
    <w:rsid w:val="006D6E72"/>
    <w:rsid w:val="006D73D2"/>
    <w:rsid w:val="006D7821"/>
    <w:rsid w:val="006D79F7"/>
    <w:rsid w:val="006D7AF7"/>
    <w:rsid w:val="006D7F7F"/>
    <w:rsid w:val="006E0174"/>
    <w:rsid w:val="006E09B4"/>
    <w:rsid w:val="006E0EAA"/>
    <w:rsid w:val="006E1325"/>
    <w:rsid w:val="006E1796"/>
    <w:rsid w:val="006E1858"/>
    <w:rsid w:val="006E2198"/>
    <w:rsid w:val="006E2BCE"/>
    <w:rsid w:val="006E3534"/>
    <w:rsid w:val="006E43BC"/>
    <w:rsid w:val="006E46DC"/>
    <w:rsid w:val="006E54F0"/>
    <w:rsid w:val="006E5D04"/>
    <w:rsid w:val="006E70B7"/>
    <w:rsid w:val="006E722A"/>
    <w:rsid w:val="006E7653"/>
    <w:rsid w:val="006F084B"/>
    <w:rsid w:val="006F095D"/>
    <w:rsid w:val="006F0A7C"/>
    <w:rsid w:val="006F0F17"/>
    <w:rsid w:val="006F1D9D"/>
    <w:rsid w:val="006F30A8"/>
    <w:rsid w:val="006F3D5E"/>
    <w:rsid w:val="006F40CF"/>
    <w:rsid w:val="006F510A"/>
    <w:rsid w:val="006F53F3"/>
    <w:rsid w:val="006F5BFE"/>
    <w:rsid w:val="006F5F80"/>
    <w:rsid w:val="006F6002"/>
    <w:rsid w:val="006F6E45"/>
    <w:rsid w:val="006F6F76"/>
    <w:rsid w:val="006F722A"/>
    <w:rsid w:val="006F7C13"/>
    <w:rsid w:val="006F7DC9"/>
    <w:rsid w:val="00700477"/>
    <w:rsid w:val="0070058D"/>
    <w:rsid w:val="00701A37"/>
    <w:rsid w:val="00702426"/>
    <w:rsid w:val="007028A0"/>
    <w:rsid w:val="0070308A"/>
    <w:rsid w:val="0070467F"/>
    <w:rsid w:val="00705B62"/>
    <w:rsid w:val="00707424"/>
    <w:rsid w:val="0070B556"/>
    <w:rsid w:val="00710DB3"/>
    <w:rsid w:val="00711BA5"/>
    <w:rsid w:val="00711DEB"/>
    <w:rsid w:val="0071220D"/>
    <w:rsid w:val="0071274B"/>
    <w:rsid w:val="007129A4"/>
    <w:rsid w:val="007129EB"/>
    <w:rsid w:val="00712CE4"/>
    <w:rsid w:val="0071492D"/>
    <w:rsid w:val="007155C6"/>
    <w:rsid w:val="00715669"/>
    <w:rsid w:val="0071584D"/>
    <w:rsid w:val="00716544"/>
    <w:rsid w:val="00716F15"/>
    <w:rsid w:val="00717533"/>
    <w:rsid w:val="007176CB"/>
    <w:rsid w:val="0071790F"/>
    <w:rsid w:val="00717D4F"/>
    <w:rsid w:val="007203D0"/>
    <w:rsid w:val="00721634"/>
    <w:rsid w:val="00721FC1"/>
    <w:rsid w:val="007225D6"/>
    <w:rsid w:val="00722CB7"/>
    <w:rsid w:val="0072527E"/>
    <w:rsid w:val="00726210"/>
    <w:rsid w:val="00726263"/>
    <w:rsid w:val="00726826"/>
    <w:rsid w:val="007269D5"/>
    <w:rsid w:val="00726B8C"/>
    <w:rsid w:val="00726C7F"/>
    <w:rsid w:val="007272CC"/>
    <w:rsid w:val="0072771C"/>
    <w:rsid w:val="00727EFB"/>
    <w:rsid w:val="00727F2F"/>
    <w:rsid w:val="00727F9F"/>
    <w:rsid w:val="00730198"/>
    <w:rsid w:val="00730353"/>
    <w:rsid w:val="00731A41"/>
    <w:rsid w:val="0073226E"/>
    <w:rsid w:val="00732C1E"/>
    <w:rsid w:val="0073304C"/>
    <w:rsid w:val="007334D0"/>
    <w:rsid w:val="00733F20"/>
    <w:rsid w:val="00734289"/>
    <w:rsid w:val="00734780"/>
    <w:rsid w:val="00734D8E"/>
    <w:rsid w:val="00734FF5"/>
    <w:rsid w:val="00735559"/>
    <w:rsid w:val="00736D12"/>
    <w:rsid w:val="00736D77"/>
    <w:rsid w:val="00736FD4"/>
    <w:rsid w:val="0073700B"/>
    <w:rsid w:val="007372A9"/>
    <w:rsid w:val="007375A4"/>
    <w:rsid w:val="00737DA2"/>
    <w:rsid w:val="007402E8"/>
    <w:rsid w:val="007415DC"/>
    <w:rsid w:val="00742B75"/>
    <w:rsid w:val="00742C79"/>
    <w:rsid w:val="00743035"/>
    <w:rsid w:val="00743518"/>
    <w:rsid w:val="0074403E"/>
    <w:rsid w:val="007444F2"/>
    <w:rsid w:val="007445BC"/>
    <w:rsid w:val="0074521E"/>
    <w:rsid w:val="007455FF"/>
    <w:rsid w:val="00745A5B"/>
    <w:rsid w:val="00745DD8"/>
    <w:rsid w:val="0074606C"/>
    <w:rsid w:val="007463DB"/>
    <w:rsid w:val="007469BF"/>
    <w:rsid w:val="00746A3E"/>
    <w:rsid w:val="0074702A"/>
    <w:rsid w:val="007501E6"/>
    <w:rsid w:val="00750916"/>
    <w:rsid w:val="00750CC7"/>
    <w:rsid w:val="00750F70"/>
    <w:rsid w:val="00751100"/>
    <w:rsid w:val="00751C22"/>
    <w:rsid w:val="00752084"/>
    <w:rsid w:val="007529E6"/>
    <w:rsid w:val="00752B10"/>
    <w:rsid w:val="00752C68"/>
    <w:rsid w:val="00752E7F"/>
    <w:rsid w:val="00753CA3"/>
    <w:rsid w:val="00753EBC"/>
    <w:rsid w:val="00754129"/>
    <w:rsid w:val="007550D9"/>
    <w:rsid w:val="007555EE"/>
    <w:rsid w:val="00755CDB"/>
    <w:rsid w:val="00757CEC"/>
    <w:rsid w:val="00757F12"/>
    <w:rsid w:val="0076000F"/>
    <w:rsid w:val="00760818"/>
    <w:rsid w:val="007619F5"/>
    <w:rsid w:val="00761D01"/>
    <w:rsid w:val="00761DBA"/>
    <w:rsid w:val="007621CD"/>
    <w:rsid w:val="007625B4"/>
    <w:rsid w:val="00762605"/>
    <w:rsid w:val="00763278"/>
    <w:rsid w:val="00763EE8"/>
    <w:rsid w:val="0076488E"/>
    <w:rsid w:val="007648E1"/>
    <w:rsid w:val="00765196"/>
    <w:rsid w:val="007655DA"/>
    <w:rsid w:val="0076571D"/>
    <w:rsid w:val="00765D1B"/>
    <w:rsid w:val="00766351"/>
    <w:rsid w:val="00766C48"/>
    <w:rsid w:val="00767786"/>
    <w:rsid w:val="00767F84"/>
    <w:rsid w:val="007701ED"/>
    <w:rsid w:val="00770A48"/>
    <w:rsid w:val="00770E3E"/>
    <w:rsid w:val="0077106A"/>
    <w:rsid w:val="0077254E"/>
    <w:rsid w:val="00772561"/>
    <w:rsid w:val="00772870"/>
    <w:rsid w:val="00772A15"/>
    <w:rsid w:val="00772C04"/>
    <w:rsid w:val="00772C44"/>
    <w:rsid w:val="007730AE"/>
    <w:rsid w:val="00773648"/>
    <w:rsid w:val="007736C5"/>
    <w:rsid w:val="00773E32"/>
    <w:rsid w:val="007746A2"/>
    <w:rsid w:val="0077499F"/>
    <w:rsid w:val="00774CD3"/>
    <w:rsid w:val="00774F3E"/>
    <w:rsid w:val="0077558F"/>
    <w:rsid w:val="00775655"/>
    <w:rsid w:val="007760F4"/>
    <w:rsid w:val="007764EF"/>
    <w:rsid w:val="0077719F"/>
    <w:rsid w:val="007774AF"/>
    <w:rsid w:val="00777889"/>
    <w:rsid w:val="00780C14"/>
    <w:rsid w:val="00780DFA"/>
    <w:rsid w:val="0078147A"/>
    <w:rsid w:val="00782014"/>
    <w:rsid w:val="00782910"/>
    <w:rsid w:val="00782E84"/>
    <w:rsid w:val="007843C6"/>
    <w:rsid w:val="00785790"/>
    <w:rsid w:val="0078616B"/>
    <w:rsid w:val="0078645A"/>
    <w:rsid w:val="00786E6F"/>
    <w:rsid w:val="00787126"/>
    <w:rsid w:val="007871EB"/>
    <w:rsid w:val="007874A9"/>
    <w:rsid w:val="007900DD"/>
    <w:rsid w:val="00790C10"/>
    <w:rsid w:val="007937A4"/>
    <w:rsid w:val="00793A10"/>
    <w:rsid w:val="00794894"/>
    <w:rsid w:val="00796748"/>
    <w:rsid w:val="00797C48"/>
    <w:rsid w:val="00797E42"/>
    <w:rsid w:val="007A0031"/>
    <w:rsid w:val="007A0216"/>
    <w:rsid w:val="007A0634"/>
    <w:rsid w:val="007A19D3"/>
    <w:rsid w:val="007A2015"/>
    <w:rsid w:val="007A26F6"/>
    <w:rsid w:val="007A282C"/>
    <w:rsid w:val="007A2923"/>
    <w:rsid w:val="007A3849"/>
    <w:rsid w:val="007A3E97"/>
    <w:rsid w:val="007A448F"/>
    <w:rsid w:val="007A4A56"/>
    <w:rsid w:val="007A5005"/>
    <w:rsid w:val="007A52B2"/>
    <w:rsid w:val="007A55B2"/>
    <w:rsid w:val="007A5FD4"/>
    <w:rsid w:val="007A6395"/>
    <w:rsid w:val="007A66D6"/>
    <w:rsid w:val="007A695D"/>
    <w:rsid w:val="007A6B62"/>
    <w:rsid w:val="007A6C74"/>
    <w:rsid w:val="007A6C7A"/>
    <w:rsid w:val="007A72D9"/>
    <w:rsid w:val="007A76F4"/>
    <w:rsid w:val="007B03E9"/>
    <w:rsid w:val="007B0E61"/>
    <w:rsid w:val="007B1F84"/>
    <w:rsid w:val="007B1FA9"/>
    <w:rsid w:val="007B23C0"/>
    <w:rsid w:val="007B29B8"/>
    <w:rsid w:val="007B4596"/>
    <w:rsid w:val="007B5106"/>
    <w:rsid w:val="007B5557"/>
    <w:rsid w:val="007B61AB"/>
    <w:rsid w:val="007B61D9"/>
    <w:rsid w:val="007B6BF8"/>
    <w:rsid w:val="007B77E9"/>
    <w:rsid w:val="007B7B8E"/>
    <w:rsid w:val="007C2286"/>
    <w:rsid w:val="007C240F"/>
    <w:rsid w:val="007C3BE3"/>
    <w:rsid w:val="007C424A"/>
    <w:rsid w:val="007C4403"/>
    <w:rsid w:val="007C4A89"/>
    <w:rsid w:val="007C5FCC"/>
    <w:rsid w:val="007C62C3"/>
    <w:rsid w:val="007C6A15"/>
    <w:rsid w:val="007C6E3F"/>
    <w:rsid w:val="007C6FDA"/>
    <w:rsid w:val="007C77CF"/>
    <w:rsid w:val="007C78EB"/>
    <w:rsid w:val="007C79AF"/>
    <w:rsid w:val="007C7E85"/>
    <w:rsid w:val="007D0519"/>
    <w:rsid w:val="007D0D1B"/>
    <w:rsid w:val="007D13FC"/>
    <w:rsid w:val="007D15AB"/>
    <w:rsid w:val="007D174D"/>
    <w:rsid w:val="007D19B8"/>
    <w:rsid w:val="007D1C73"/>
    <w:rsid w:val="007D291E"/>
    <w:rsid w:val="007D2DDC"/>
    <w:rsid w:val="007D3C1E"/>
    <w:rsid w:val="007D3CA9"/>
    <w:rsid w:val="007D3CB1"/>
    <w:rsid w:val="007D45AA"/>
    <w:rsid w:val="007D4C0C"/>
    <w:rsid w:val="007D5836"/>
    <w:rsid w:val="007D6802"/>
    <w:rsid w:val="007D6B3A"/>
    <w:rsid w:val="007D7403"/>
    <w:rsid w:val="007D7A59"/>
    <w:rsid w:val="007D7CC3"/>
    <w:rsid w:val="007E0279"/>
    <w:rsid w:val="007E07E0"/>
    <w:rsid w:val="007E0DEE"/>
    <w:rsid w:val="007E1548"/>
    <w:rsid w:val="007E1675"/>
    <w:rsid w:val="007E1FDC"/>
    <w:rsid w:val="007E2375"/>
    <w:rsid w:val="007E2CA8"/>
    <w:rsid w:val="007E371E"/>
    <w:rsid w:val="007E5349"/>
    <w:rsid w:val="007E66AC"/>
    <w:rsid w:val="007E6BA7"/>
    <w:rsid w:val="007E6CEC"/>
    <w:rsid w:val="007E75EF"/>
    <w:rsid w:val="007E7892"/>
    <w:rsid w:val="007F008E"/>
    <w:rsid w:val="007F029B"/>
    <w:rsid w:val="007F084E"/>
    <w:rsid w:val="007F0A01"/>
    <w:rsid w:val="007F2548"/>
    <w:rsid w:val="007F269E"/>
    <w:rsid w:val="007F3F8B"/>
    <w:rsid w:val="007F4DC8"/>
    <w:rsid w:val="007F5944"/>
    <w:rsid w:val="007F5C19"/>
    <w:rsid w:val="007F6029"/>
    <w:rsid w:val="007F65D0"/>
    <w:rsid w:val="007F6607"/>
    <w:rsid w:val="007F6AF6"/>
    <w:rsid w:val="007F761A"/>
    <w:rsid w:val="007F773A"/>
    <w:rsid w:val="0080114D"/>
    <w:rsid w:val="008013A3"/>
    <w:rsid w:val="00802DE6"/>
    <w:rsid w:val="00802FF9"/>
    <w:rsid w:val="00803B2A"/>
    <w:rsid w:val="0080418D"/>
    <w:rsid w:val="00805451"/>
    <w:rsid w:val="0080574D"/>
    <w:rsid w:val="0080595F"/>
    <w:rsid w:val="0080650D"/>
    <w:rsid w:val="00806C70"/>
    <w:rsid w:val="00806EDC"/>
    <w:rsid w:val="00807866"/>
    <w:rsid w:val="008100E2"/>
    <w:rsid w:val="00810800"/>
    <w:rsid w:val="00813627"/>
    <w:rsid w:val="00814D6F"/>
    <w:rsid w:val="00816FF5"/>
    <w:rsid w:val="008172D5"/>
    <w:rsid w:val="0081753A"/>
    <w:rsid w:val="00817841"/>
    <w:rsid w:val="00817A60"/>
    <w:rsid w:val="0082035F"/>
    <w:rsid w:val="008205AB"/>
    <w:rsid w:val="00820D59"/>
    <w:rsid w:val="00820FED"/>
    <w:rsid w:val="008216C4"/>
    <w:rsid w:val="008221C1"/>
    <w:rsid w:val="00825007"/>
    <w:rsid w:val="00826CE0"/>
    <w:rsid w:val="00827579"/>
    <w:rsid w:val="00827A47"/>
    <w:rsid w:val="0083061B"/>
    <w:rsid w:val="00830666"/>
    <w:rsid w:val="00830F86"/>
    <w:rsid w:val="008318C7"/>
    <w:rsid w:val="00831D68"/>
    <w:rsid w:val="0083236C"/>
    <w:rsid w:val="0083270C"/>
    <w:rsid w:val="00832A99"/>
    <w:rsid w:val="00833A56"/>
    <w:rsid w:val="00834492"/>
    <w:rsid w:val="00834F52"/>
    <w:rsid w:val="00835D52"/>
    <w:rsid w:val="00836165"/>
    <w:rsid w:val="00836700"/>
    <w:rsid w:val="00837BFF"/>
    <w:rsid w:val="00837DC0"/>
    <w:rsid w:val="00840525"/>
    <w:rsid w:val="0084075E"/>
    <w:rsid w:val="00840789"/>
    <w:rsid w:val="00840C0E"/>
    <w:rsid w:val="00840FEA"/>
    <w:rsid w:val="008415D8"/>
    <w:rsid w:val="00841A75"/>
    <w:rsid w:val="008423FD"/>
    <w:rsid w:val="008425F7"/>
    <w:rsid w:val="008429B8"/>
    <w:rsid w:val="00842D4A"/>
    <w:rsid w:val="008436D3"/>
    <w:rsid w:val="0084432A"/>
    <w:rsid w:val="00844F7A"/>
    <w:rsid w:val="0084514E"/>
    <w:rsid w:val="00845195"/>
    <w:rsid w:val="00845327"/>
    <w:rsid w:val="00845745"/>
    <w:rsid w:val="0084575D"/>
    <w:rsid w:val="008460F1"/>
    <w:rsid w:val="008471B3"/>
    <w:rsid w:val="008476D4"/>
    <w:rsid w:val="00847CA3"/>
    <w:rsid w:val="00850862"/>
    <w:rsid w:val="0085196B"/>
    <w:rsid w:val="00851A81"/>
    <w:rsid w:val="00851F22"/>
    <w:rsid w:val="008531B0"/>
    <w:rsid w:val="0085493C"/>
    <w:rsid w:val="00854EC7"/>
    <w:rsid w:val="00855E10"/>
    <w:rsid w:val="00855EFB"/>
    <w:rsid w:val="00856669"/>
    <w:rsid w:val="00856749"/>
    <w:rsid w:val="00856779"/>
    <w:rsid w:val="00856D7D"/>
    <w:rsid w:val="008575FC"/>
    <w:rsid w:val="00857C79"/>
    <w:rsid w:val="008623B8"/>
    <w:rsid w:val="00862D65"/>
    <w:rsid w:val="00863525"/>
    <w:rsid w:val="00863F9A"/>
    <w:rsid w:val="00865F10"/>
    <w:rsid w:val="00866042"/>
    <w:rsid w:val="00866A2B"/>
    <w:rsid w:val="0086712D"/>
    <w:rsid w:val="00867944"/>
    <w:rsid w:val="0087081B"/>
    <w:rsid w:val="00870859"/>
    <w:rsid w:val="00871C3B"/>
    <w:rsid w:val="00872635"/>
    <w:rsid w:val="0087266D"/>
    <w:rsid w:val="00873DA2"/>
    <w:rsid w:val="00874440"/>
    <w:rsid w:val="0087460E"/>
    <w:rsid w:val="00874BD6"/>
    <w:rsid w:val="00874D1A"/>
    <w:rsid w:val="0087542C"/>
    <w:rsid w:val="0087672D"/>
    <w:rsid w:val="00876923"/>
    <w:rsid w:val="008769A5"/>
    <w:rsid w:val="0087708F"/>
    <w:rsid w:val="00877AC7"/>
    <w:rsid w:val="008813F7"/>
    <w:rsid w:val="008817FB"/>
    <w:rsid w:val="00881C5D"/>
    <w:rsid w:val="00881E5E"/>
    <w:rsid w:val="00884084"/>
    <w:rsid w:val="0088462B"/>
    <w:rsid w:val="008847CF"/>
    <w:rsid w:val="00885AA5"/>
    <w:rsid w:val="00886794"/>
    <w:rsid w:val="008867A5"/>
    <w:rsid w:val="008871F8"/>
    <w:rsid w:val="008872FC"/>
    <w:rsid w:val="0088770A"/>
    <w:rsid w:val="0089030B"/>
    <w:rsid w:val="008907B1"/>
    <w:rsid w:val="0089133B"/>
    <w:rsid w:val="0089171C"/>
    <w:rsid w:val="0089185F"/>
    <w:rsid w:val="00891B63"/>
    <w:rsid w:val="00891E40"/>
    <w:rsid w:val="00892861"/>
    <w:rsid w:val="00893703"/>
    <w:rsid w:val="008938B2"/>
    <w:rsid w:val="00894561"/>
    <w:rsid w:val="0089459B"/>
    <w:rsid w:val="00894DDB"/>
    <w:rsid w:val="008962EE"/>
    <w:rsid w:val="0089734C"/>
    <w:rsid w:val="008A0923"/>
    <w:rsid w:val="008A1C4D"/>
    <w:rsid w:val="008A2A4D"/>
    <w:rsid w:val="008A3175"/>
    <w:rsid w:val="008A3189"/>
    <w:rsid w:val="008A31B7"/>
    <w:rsid w:val="008A3B8F"/>
    <w:rsid w:val="008A3EE5"/>
    <w:rsid w:val="008A4531"/>
    <w:rsid w:val="008A4BDB"/>
    <w:rsid w:val="008A5014"/>
    <w:rsid w:val="008A6281"/>
    <w:rsid w:val="008A62E6"/>
    <w:rsid w:val="008A713B"/>
    <w:rsid w:val="008A7A28"/>
    <w:rsid w:val="008A7D67"/>
    <w:rsid w:val="008A7FB7"/>
    <w:rsid w:val="008B05DA"/>
    <w:rsid w:val="008B0B35"/>
    <w:rsid w:val="008B0BB5"/>
    <w:rsid w:val="008B0BCF"/>
    <w:rsid w:val="008B0CD8"/>
    <w:rsid w:val="008B16D2"/>
    <w:rsid w:val="008B189B"/>
    <w:rsid w:val="008B1E64"/>
    <w:rsid w:val="008B264A"/>
    <w:rsid w:val="008B279C"/>
    <w:rsid w:val="008B38D5"/>
    <w:rsid w:val="008B3BB7"/>
    <w:rsid w:val="008B44C7"/>
    <w:rsid w:val="008B4EE7"/>
    <w:rsid w:val="008B4F4B"/>
    <w:rsid w:val="008B5145"/>
    <w:rsid w:val="008B6750"/>
    <w:rsid w:val="008B6853"/>
    <w:rsid w:val="008B73B5"/>
    <w:rsid w:val="008B74CB"/>
    <w:rsid w:val="008B75FC"/>
    <w:rsid w:val="008B78E6"/>
    <w:rsid w:val="008BA76A"/>
    <w:rsid w:val="008C0134"/>
    <w:rsid w:val="008C024C"/>
    <w:rsid w:val="008C07B8"/>
    <w:rsid w:val="008C0D24"/>
    <w:rsid w:val="008C13C0"/>
    <w:rsid w:val="008C1C8A"/>
    <w:rsid w:val="008C21F3"/>
    <w:rsid w:val="008C37A4"/>
    <w:rsid w:val="008C4346"/>
    <w:rsid w:val="008C4A66"/>
    <w:rsid w:val="008C5D71"/>
    <w:rsid w:val="008C6093"/>
    <w:rsid w:val="008C72E2"/>
    <w:rsid w:val="008C7D71"/>
    <w:rsid w:val="008D00AB"/>
    <w:rsid w:val="008D018C"/>
    <w:rsid w:val="008D03D8"/>
    <w:rsid w:val="008D089F"/>
    <w:rsid w:val="008D0B74"/>
    <w:rsid w:val="008D10A3"/>
    <w:rsid w:val="008D1DA9"/>
    <w:rsid w:val="008D2924"/>
    <w:rsid w:val="008D2C63"/>
    <w:rsid w:val="008D3ADA"/>
    <w:rsid w:val="008D453C"/>
    <w:rsid w:val="008D4701"/>
    <w:rsid w:val="008D4A23"/>
    <w:rsid w:val="008D4C93"/>
    <w:rsid w:val="008D5173"/>
    <w:rsid w:val="008D5C0B"/>
    <w:rsid w:val="008D5E3C"/>
    <w:rsid w:val="008D5E98"/>
    <w:rsid w:val="008D638D"/>
    <w:rsid w:val="008D642C"/>
    <w:rsid w:val="008D6551"/>
    <w:rsid w:val="008D780F"/>
    <w:rsid w:val="008E00F4"/>
    <w:rsid w:val="008E0C12"/>
    <w:rsid w:val="008E0CBD"/>
    <w:rsid w:val="008E0EAA"/>
    <w:rsid w:val="008E10E2"/>
    <w:rsid w:val="008E1617"/>
    <w:rsid w:val="008E1868"/>
    <w:rsid w:val="008E1F9E"/>
    <w:rsid w:val="008E248D"/>
    <w:rsid w:val="008E2783"/>
    <w:rsid w:val="008E2885"/>
    <w:rsid w:val="008E3E52"/>
    <w:rsid w:val="008E42C3"/>
    <w:rsid w:val="008E46EA"/>
    <w:rsid w:val="008E4BF8"/>
    <w:rsid w:val="008E567A"/>
    <w:rsid w:val="008E58A5"/>
    <w:rsid w:val="008E5A80"/>
    <w:rsid w:val="008E6462"/>
    <w:rsid w:val="008E687F"/>
    <w:rsid w:val="008E7003"/>
    <w:rsid w:val="008F05FA"/>
    <w:rsid w:val="008F0D04"/>
    <w:rsid w:val="008F1A76"/>
    <w:rsid w:val="008F39C3"/>
    <w:rsid w:val="008F42C0"/>
    <w:rsid w:val="008F43EB"/>
    <w:rsid w:val="008F4A5F"/>
    <w:rsid w:val="008F5057"/>
    <w:rsid w:val="008F513F"/>
    <w:rsid w:val="008F570D"/>
    <w:rsid w:val="008F5866"/>
    <w:rsid w:val="008F621B"/>
    <w:rsid w:val="008F6A90"/>
    <w:rsid w:val="008F728E"/>
    <w:rsid w:val="008F75E9"/>
    <w:rsid w:val="009005FC"/>
    <w:rsid w:val="00901A0B"/>
    <w:rsid w:val="00901EA8"/>
    <w:rsid w:val="00902C7E"/>
    <w:rsid w:val="00903895"/>
    <w:rsid w:val="009039A7"/>
    <w:rsid w:val="00903E1C"/>
    <w:rsid w:val="00903F63"/>
    <w:rsid w:val="00904187"/>
    <w:rsid w:val="00904208"/>
    <w:rsid w:val="00904DC3"/>
    <w:rsid w:val="009055B0"/>
    <w:rsid w:val="00905AAC"/>
    <w:rsid w:val="0091073C"/>
    <w:rsid w:val="00911245"/>
    <w:rsid w:val="009113F7"/>
    <w:rsid w:val="00911550"/>
    <w:rsid w:val="00911818"/>
    <w:rsid w:val="0091278A"/>
    <w:rsid w:val="00912AD3"/>
    <w:rsid w:val="00912EBA"/>
    <w:rsid w:val="0091304D"/>
    <w:rsid w:val="009136A3"/>
    <w:rsid w:val="00913AC9"/>
    <w:rsid w:val="00913D60"/>
    <w:rsid w:val="00913F08"/>
    <w:rsid w:val="00914664"/>
    <w:rsid w:val="00914833"/>
    <w:rsid w:val="00915255"/>
    <w:rsid w:val="009162B1"/>
    <w:rsid w:val="0091704D"/>
    <w:rsid w:val="009172E7"/>
    <w:rsid w:val="00917907"/>
    <w:rsid w:val="009203A0"/>
    <w:rsid w:val="009214DF"/>
    <w:rsid w:val="00921BC1"/>
    <w:rsid w:val="00921CEE"/>
    <w:rsid w:val="00922582"/>
    <w:rsid w:val="00922953"/>
    <w:rsid w:val="00922C96"/>
    <w:rsid w:val="0092300F"/>
    <w:rsid w:val="0092348E"/>
    <w:rsid w:val="00925D0C"/>
    <w:rsid w:val="009262F0"/>
    <w:rsid w:val="00926660"/>
    <w:rsid w:val="009267F9"/>
    <w:rsid w:val="00926DCC"/>
    <w:rsid w:val="00927B36"/>
    <w:rsid w:val="00927CAA"/>
    <w:rsid w:val="00927D0E"/>
    <w:rsid w:val="00927DB2"/>
    <w:rsid w:val="0093042F"/>
    <w:rsid w:val="009305B0"/>
    <w:rsid w:val="009305E3"/>
    <w:rsid w:val="00930890"/>
    <w:rsid w:val="00932DB3"/>
    <w:rsid w:val="0093471C"/>
    <w:rsid w:val="009347FD"/>
    <w:rsid w:val="00935C74"/>
    <w:rsid w:val="0093603E"/>
    <w:rsid w:val="00936BA7"/>
    <w:rsid w:val="00936BF8"/>
    <w:rsid w:val="00936C7A"/>
    <w:rsid w:val="00936CED"/>
    <w:rsid w:val="00936D35"/>
    <w:rsid w:val="0093727A"/>
    <w:rsid w:val="009374E8"/>
    <w:rsid w:val="00941C42"/>
    <w:rsid w:val="00941E9A"/>
    <w:rsid w:val="00943AD1"/>
    <w:rsid w:val="00943B10"/>
    <w:rsid w:val="00943EDB"/>
    <w:rsid w:val="009450C2"/>
    <w:rsid w:val="009452F8"/>
    <w:rsid w:val="00945960"/>
    <w:rsid w:val="009465B6"/>
    <w:rsid w:val="00946B7F"/>
    <w:rsid w:val="0094753D"/>
    <w:rsid w:val="00950A76"/>
    <w:rsid w:val="009521D0"/>
    <w:rsid w:val="0095267B"/>
    <w:rsid w:val="009540CF"/>
    <w:rsid w:val="00954117"/>
    <w:rsid w:val="00954B6A"/>
    <w:rsid w:val="0095571C"/>
    <w:rsid w:val="00955A05"/>
    <w:rsid w:val="009560EA"/>
    <w:rsid w:val="00956847"/>
    <w:rsid w:val="00957177"/>
    <w:rsid w:val="009576FB"/>
    <w:rsid w:val="00957787"/>
    <w:rsid w:val="00957ED2"/>
    <w:rsid w:val="00960958"/>
    <w:rsid w:val="00960F34"/>
    <w:rsid w:val="009620E1"/>
    <w:rsid w:val="009627D1"/>
    <w:rsid w:val="00965B1E"/>
    <w:rsid w:val="00965C95"/>
    <w:rsid w:val="00966958"/>
    <w:rsid w:val="00966D14"/>
    <w:rsid w:val="00967871"/>
    <w:rsid w:val="00970784"/>
    <w:rsid w:val="009715F4"/>
    <w:rsid w:val="00971601"/>
    <w:rsid w:val="00972F48"/>
    <w:rsid w:val="00973ED8"/>
    <w:rsid w:val="00973F1F"/>
    <w:rsid w:val="00974C49"/>
    <w:rsid w:val="009754C1"/>
    <w:rsid w:val="00976832"/>
    <w:rsid w:val="00977F89"/>
    <w:rsid w:val="00980657"/>
    <w:rsid w:val="00980C95"/>
    <w:rsid w:val="00981E94"/>
    <w:rsid w:val="00981F16"/>
    <w:rsid w:val="00982DD6"/>
    <w:rsid w:val="0098335D"/>
    <w:rsid w:val="0098369A"/>
    <w:rsid w:val="00984AAF"/>
    <w:rsid w:val="00984F0A"/>
    <w:rsid w:val="00985D55"/>
    <w:rsid w:val="00986038"/>
    <w:rsid w:val="0098681E"/>
    <w:rsid w:val="00987941"/>
    <w:rsid w:val="009902BA"/>
    <w:rsid w:val="009905B9"/>
    <w:rsid w:val="00990F16"/>
    <w:rsid w:val="009910AE"/>
    <w:rsid w:val="00991326"/>
    <w:rsid w:val="009923D2"/>
    <w:rsid w:val="00993FC5"/>
    <w:rsid w:val="0099463F"/>
    <w:rsid w:val="009957D7"/>
    <w:rsid w:val="009960F8"/>
    <w:rsid w:val="009A020D"/>
    <w:rsid w:val="009A11AD"/>
    <w:rsid w:val="009A132B"/>
    <w:rsid w:val="009A3C50"/>
    <w:rsid w:val="009A5AB4"/>
    <w:rsid w:val="009A61C6"/>
    <w:rsid w:val="009B09CC"/>
    <w:rsid w:val="009B0DE8"/>
    <w:rsid w:val="009B0F71"/>
    <w:rsid w:val="009B10CB"/>
    <w:rsid w:val="009B1375"/>
    <w:rsid w:val="009B1897"/>
    <w:rsid w:val="009B199F"/>
    <w:rsid w:val="009B1BC5"/>
    <w:rsid w:val="009B1BDD"/>
    <w:rsid w:val="009B20FD"/>
    <w:rsid w:val="009B284D"/>
    <w:rsid w:val="009B2CCC"/>
    <w:rsid w:val="009B2F28"/>
    <w:rsid w:val="009B33DA"/>
    <w:rsid w:val="009B36AB"/>
    <w:rsid w:val="009B3EEE"/>
    <w:rsid w:val="009B54DF"/>
    <w:rsid w:val="009B6610"/>
    <w:rsid w:val="009B6E26"/>
    <w:rsid w:val="009B7948"/>
    <w:rsid w:val="009B7CEB"/>
    <w:rsid w:val="009B7F16"/>
    <w:rsid w:val="009C08D7"/>
    <w:rsid w:val="009C0A32"/>
    <w:rsid w:val="009C126D"/>
    <w:rsid w:val="009C1C75"/>
    <w:rsid w:val="009C20DE"/>
    <w:rsid w:val="009C3860"/>
    <w:rsid w:val="009C3B6C"/>
    <w:rsid w:val="009C4839"/>
    <w:rsid w:val="009C4B18"/>
    <w:rsid w:val="009C540B"/>
    <w:rsid w:val="009C58D6"/>
    <w:rsid w:val="009C5A6A"/>
    <w:rsid w:val="009C5CFE"/>
    <w:rsid w:val="009C5F5A"/>
    <w:rsid w:val="009C6182"/>
    <w:rsid w:val="009C6447"/>
    <w:rsid w:val="009C6459"/>
    <w:rsid w:val="009C6688"/>
    <w:rsid w:val="009C685A"/>
    <w:rsid w:val="009C686A"/>
    <w:rsid w:val="009C70DD"/>
    <w:rsid w:val="009C73C6"/>
    <w:rsid w:val="009C7A3F"/>
    <w:rsid w:val="009C7F1E"/>
    <w:rsid w:val="009D02FC"/>
    <w:rsid w:val="009D0DD5"/>
    <w:rsid w:val="009D0DF6"/>
    <w:rsid w:val="009D15E9"/>
    <w:rsid w:val="009D1885"/>
    <w:rsid w:val="009D22AD"/>
    <w:rsid w:val="009D2305"/>
    <w:rsid w:val="009D23C3"/>
    <w:rsid w:val="009D2BEE"/>
    <w:rsid w:val="009D2E19"/>
    <w:rsid w:val="009D2FB0"/>
    <w:rsid w:val="009D3550"/>
    <w:rsid w:val="009D3780"/>
    <w:rsid w:val="009D3BA2"/>
    <w:rsid w:val="009D3F11"/>
    <w:rsid w:val="009D4673"/>
    <w:rsid w:val="009D495F"/>
    <w:rsid w:val="009D4B18"/>
    <w:rsid w:val="009D4E2E"/>
    <w:rsid w:val="009D4EBA"/>
    <w:rsid w:val="009D4F18"/>
    <w:rsid w:val="009D516B"/>
    <w:rsid w:val="009D5847"/>
    <w:rsid w:val="009D5BBD"/>
    <w:rsid w:val="009D6566"/>
    <w:rsid w:val="009D6C17"/>
    <w:rsid w:val="009D6C42"/>
    <w:rsid w:val="009D72A6"/>
    <w:rsid w:val="009D7A12"/>
    <w:rsid w:val="009D7A3E"/>
    <w:rsid w:val="009D7AF9"/>
    <w:rsid w:val="009E086E"/>
    <w:rsid w:val="009E09D6"/>
    <w:rsid w:val="009E0E67"/>
    <w:rsid w:val="009E1766"/>
    <w:rsid w:val="009E1969"/>
    <w:rsid w:val="009E1B0F"/>
    <w:rsid w:val="009E2796"/>
    <w:rsid w:val="009E289E"/>
    <w:rsid w:val="009E2CCB"/>
    <w:rsid w:val="009E3024"/>
    <w:rsid w:val="009E38CA"/>
    <w:rsid w:val="009E5588"/>
    <w:rsid w:val="009E57AE"/>
    <w:rsid w:val="009E627C"/>
    <w:rsid w:val="009E70C2"/>
    <w:rsid w:val="009F03D9"/>
    <w:rsid w:val="009F0AFE"/>
    <w:rsid w:val="009F0EF4"/>
    <w:rsid w:val="009F12F8"/>
    <w:rsid w:val="009F17A8"/>
    <w:rsid w:val="009F1A0F"/>
    <w:rsid w:val="009F2168"/>
    <w:rsid w:val="009F22B4"/>
    <w:rsid w:val="009F2E59"/>
    <w:rsid w:val="009F2F81"/>
    <w:rsid w:val="009F3B07"/>
    <w:rsid w:val="009F4E81"/>
    <w:rsid w:val="009F53FC"/>
    <w:rsid w:val="009F622A"/>
    <w:rsid w:val="009F6415"/>
    <w:rsid w:val="009F6C3D"/>
    <w:rsid w:val="009F7202"/>
    <w:rsid w:val="00A0013B"/>
    <w:rsid w:val="00A009DD"/>
    <w:rsid w:val="00A00B50"/>
    <w:rsid w:val="00A01339"/>
    <w:rsid w:val="00A0180E"/>
    <w:rsid w:val="00A01835"/>
    <w:rsid w:val="00A01A62"/>
    <w:rsid w:val="00A025C1"/>
    <w:rsid w:val="00A03148"/>
    <w:rsid w:val="00A0450E"/>
    <w:rsid w:val="00A04C12"/>
    <w:rsid w:val="00A052E1"/>
    <w:rsid w:val="00A05DB5"/>
    <w:rsid w:val="00A06099"/>
    <w:rsid w:val="00A063DE"/>
    <w:rsid w:val="00A0651A"/>
    <w:rsid w:val="00A06D33"/>
    <w:rsid w:val="00A07111"/>
    <w:rsid w:val="00A101A7"/>
    <w:rsid w:val="00A119AF"/>
    <w:rsid w:val="00A12770"/>
    <w:rsid w:val="00A12E80"/>
    <w:rsid w:val="00A12FCB"/>
    <w:rsid w:val="00A130AC"/>
    <w:rsid w:val="00A133FE"/>
    <w:rsid w:val="00A13723"/>
    <w:rsid w:val="00A139AB"/>
    <w:rsid w:val="00A13B5C"/>
    <w:rsid w:val="00A14029"/>
    <w:rsid w:val="00A1481E"/>
    <w:rsid w:val="00A15744"/>
    <w:rsid w:val="00A15C35"/>
    <w:rsid w:val="00A16898"/>
    <w:rsid w:val="00A16E5E"/>
    <w:rsid w:val="00A16F06"/>
    <w:rsid w:val="00A175D6"/>
    <w:rsid w:val="00A176AD"/>
    <w:rsid w:val="00A1791F"/>
    <w:rsid w:val="00A17932"/>
    <w:rsid w:val="00A17AE1"/>
    <w:rsid w:val="00A203C4"/>
    <w:rsid w:val="00A2078F"/>
    <w:rsid w:val="00A208F8"/>
    <w:rsid w:val="00A21370"/>
    <w:rsid w:val="00A22836"/>
    <w:rsid w:val="00A22A52"/>
    <w:rsid w:val="00A22F8E"/>
    <w:rsid w:val="00A23550"/>
    <w:rsid w:val="00A23B56"/>
    <w:rsid w:val="00A23B70"/>
    <w:rsid w:val="00A23FB5"/>
    <w:rsid w:val="00A2410C"/>
    <w:rsid w:val="00A2429F"/>
    <w:rsid w:val="00A24464"/>
    <w:rsid w:val="00A244C3"/>
    <w:rsid w:val="00A24AE4"/>
    <w:rsid w:val="00A254C5"/>
    <w:rsid w:val="00A25B69"/>
    <w:rsid w:val="00A25D06"/>
    <w:rsid w:val="00A26A1B"/>
    <w:rsid w:val="00A27072"/>
    <w:rsid w:val="00A2755C"/>
    <w:rsid w:val="00A2767B"/>
    <w:rsid w:val="00A30AAD"/>
    <w:rsid w:val="00A32526"/>
    <w:rsid w:val="00A32856"/>
    <w:rsid w:val="00A33BCE"/>
    <w:rsid w:val="00A34181"/>
    <w:rsid w:val="00A352A4"/>
    <w:rsid w:val="00A35850"/>
    <w:rsid w:val="00A35FBB"/>
    <w:rsid w:val="00A3669A"/>
    <w:rsid w:val="00A371A4"/>
    <w:rsid w:val="00A372B6"/>
    <w:rsid w:val="00A37BE4"/>
    <w:rsid w:val="00A37C66"/>
    <w:rsid w:val="00A40E2B"/>
    <w:rsid w:val="00A41281"/>
    <w:rsid w:val="00A41550"/>
    <w:rsid w:val="00A415DB"/>
    <w:rsid w:val="00A42181"/>
    <w:rsid w:val="00A42BE1"/>
    <w:rsid w:val="00A431A5"/>
    <w:rsid w:val="00A43503"/>
    <w:rsid w:val="00A43609"/>
    <w:rsid w:val="00A43B28"/>
    <w:rsid w:val="00A43D8E"/>
    <w:rsid w:val="00A440F6"/>
    <w:rsid w:val="00A44353"/>
    <w:rsid w:val="00A44810"/>
    <w:rsid w:val="00A45057"/>
    <w:rsid w:val="00A4561E"/>
    <w:rsid w:val="00A45B4C"/>
    <w:rsid w:val="00A461B8"/>
    <w:rsid w:val="00A4641C"/>
    <w:rsid w:val="00A47476"/>
    <w:rsid w:val="00A4760E"/>
    <w:rsid w:val="00A47D58"/>
    <w:rsid w:val="00A500ED"/>
    <w:rsid w:val="00A50F5C"/>
    <w:rsid w:val="00A51F0E"/>
    <w:rsid w:val="00A51F76"/>
    <w:rsid w:val="00A5327F"/>
    <w:rsid w:val="00A53CEE"/>
    <w:rsid w:val="00A5422D"/>
    <w:rsid w:val="00A544E6"/>
    <w:rsid w:val="00A54603"/>
    <w:rsid w:val="00A54C24"/>
    <w:rsid w:val="00A55273"/>
    <w:rsid w:val="00A552DA"/>
    <w:rsid w:val="00A5596A"/>
    <w:rsid w:val="00A56188"/>
    <w:rsid w:val="00A5620A"/>
    <w:rsid w:val="00A56523"/>
    <w:rsid w:val="00A56B22"/>
    <w:rsid w:val="00A56F64"/>
    <w:rsid w:val="00A57B90"/>
    <w:rsid w:val="00A60748"/>
    <w:rsid w:val="00A60A4E"/>
    <w:rsid w:val="00A60F16"/>
    <w:rsid w:val="00A61894"/>
    <w:rsid w:val="00A621C7"/>
    <w:rsid w:val="00A62310"/>
    <w:rsid w:val="00A62C38"/>
    <w:rsid w:val="00A62E89"/>
    <w:rsid w:val="00A63415"/>
    <w:rsid w:val="00A63A03"/>
    <w:rsid w:val="00A657CC"/>
    <w:rsid w:val="00A65EF5"/>
    <w:rsid w:val="00A6621B"/>
    <w:rsid w:val="00A665CC"/>
    <w:rsid w:val="00A6669A"/>
    <w:rsid w:val="00A66ED5"/>
    <w:rsid w:val="00A66EE4"/>
    <w:rsid w:val="00A66FE8"/>
    <w:rsid w:val="00A67392"/>
    <w:rsid w:val="00A6775B"/>
    <w:rsid w:val="00A7142B"/>
    <w:rsid w:val="00A72358"/>
    <w:rsid w:val="00A72B48"/>
    <w:rsid w:val="00A73033"/>
    <w:rsid w:val="00A73588"/>
    <w:rsid w:val="00A739A3"/>
    <w:rsid w:val="00A73A6B"/>
    <w:rsid w:val="00A74288"/>
    <w:rsid w:val="00A74B6B"/>
    <w:rsid w:val="00A756EB"/>
    <w:rsid w:val="00A7587F"/>
    <w:rsid w:val="00A75A46"/>
    <w:rsid w:val="00A7614E"/>
    <w:rsid w:val="00A76287"/>
    <w:rsid w:val="00A7633A"/>
    <w:rsid w:val="00A76662"/>
    <w:rsid w:val="00A76CC1"/>
    <w:rsid w:val="00A76DAF"/>
    <w:rsid w:val="00A809C7"/>
    <w:rsid w:val="00A80B83"/>
    <w:rsid w:val="00A80F53"/>
    <w:rsid w:val="00A81E55"/>
    <w:rsid w:val="00A81ED7"/>
    <w:rsid w:val="00A82635"/>
    <w:rsid w:val="00A827E5"/>
    <w:rsid w:val="00A82C1D"/>
    <w:rsid w:val="00A832CC"/>
    <w:rsid w:val="00A84532"/>
    <w:rsid w:val="00A85D38"/>
    <w:rsid w:val="00A85EC8"/>
    <w:rsid w:val="00A86B13"/>
    <w:rsid w:val="00A86E1F"/>
    <w:rsid w:val="00A873D0"/>
    <w:rsid w:val="00A87938"/>
    <w:rsid w:val="00A87E03"/>
    <w:rsid w:val="00A90560"/>
    <w:rsid w:val="00A90FAC"/>
    <w:rsid w:val="00A91418"/>
    <w:rsid w:val="00A91D98"/>
    <w:rsid w:val="00A924FC"/>
    <w:rsid w:val="00A92661"/>
    <w:rsid w:val="00A93B57"/>
    <w:rsid w:val="00A9586F"/>
    <w:rsid w:val="00A95BDF"/>
    <w:rsid w:val="00A96A77"/>
    <w:rsid w:val="00AA01B7"/>
    <w:rsid w:val="00AA0625"/>
    <w:rsid w:val="00AA0C1E"/>
    <w:rsid w:val="00AA12D5"/>
    <w:rsid w:val="00AA1AA8"/>
    <w:rsid w:val="00AA22CA"/>
    <w:rsid w:val="00AA2453"/>
    <w:rsid w:val="00AA24CF"/>
    <w:rsid w:val="00AA2848"/>
    <w:rsid w:val="00AA53F5"/>
    <w:rsid w:val="00AA56D4"/>
    <w:rsid w:val="00AA740C"/>
    <w:rsid w:val="00AB086C"/>
    <w:rsid w:val="00AB1172"/>
    <w:rsid w:val="00AB12EF"/>
    <w:rsid w:val="00AB1AAD"/>
    <w:rsid w:val="00AB1F34"/>
    <w:rsid w:val="00AB26C6"/>
    <w:rsid w:val="00AB29C7"/>
    <w:rsid w:val="00AB312A"/>
    <w:rsid w:val="00AB34CF"/>
    <w:rsid w:val="00AB396A"/>
    <w:rsid w:val="00AB3B04"/>
    <w:rsid w:val="00AB454E"/>
    <w:rsid w:val="00AB4B7D"/>
    <w:rsid w:val="00AB4D83"/>
    <w:rsid w:val="00AB54C8"/>
    <w:rsid w:val="00AB55FF"/>
    <w:rsid w:val="00AB5773"/>
    <w:rsid w:val="00AB5C9B"/>
    <w:rsid w:val="00AB693F"/>
    <w:rsid w:val="00AB7472"/>
    <w:rsid w:val="00AB7C02"/>
    <w:rsid w:val="00AC02CE"/>
    <w:rsid w:val="00AC07F8"/>
    <w:rsid w:val="00AC151F"/>
    <w:rsid w:val="00AC20BB"/>
    <w:rsid w:val="00AC249B"/>
    <w:rsid w:val="00AC4FC0"/>
    <w:rsid w:val="00AC5C15"/>
    <w:rsid w:val="00AC6B4C"/>
    <w:rsid w:val="00AC6FF9"/>
    <w:rsid w:val="00AC77ED"/>
    <w:rsid w:val="00AD001D"/>
    <w:rsid w:val="00AD0373"/>
    <w:rsid w:val="00AD097C"/>
    <w:rsid w:val="00AD0B6E"/>
    <w:rsid w:val="00AD0D53"/>
    <w:rsid w:val="00AD0F61"/>
    <w:rsid w:val="00AD100C"/>
    <w:rsid w:val="00AD1168"/>
    <w:rsid w:val="00AD1352"/>
    <w:rsid w:val="00AD1D22"/>
    <w:rsid w:val="00AD1DA7"/>
    <w:rsid w:val="00AD292B"/>
    <w:rsid w:val="00AD2FA7"/>
    <w:rsid w:val="00AD3614"/>
    <w:rsid w:val="00AD5C0B"/>
    <w:rsid w:val="00AD5C47"/>
    <w:rsid w:val="00AD6097"/>
    <w:rsid w:val="00AD619A"/>
    <w:rsid w:val="00AD6CD2"/>
    <w:rsid w:val="00AD71B3"/>
    <w:rsid w:val="00AD730D"/>
    <w:rsid w:val="00AD7709"/>
    <w:rsid w:val="00AD7BE2"/>
    <w:rsid w:val="00AE013D"/>
    <w:rsid w:val="00AE07C0"/>
    <w:rsid w:val="00AE0818"/>
    <w:rsid w:val="00AE0ACA"/>
    <w:rsid w:val="00AE14CD"/>
    <w:rsid w:val="00AE15CB"/>
    <w:rsid w:val="00AE18D8"/>
    <w:rsid w:val="00AE2799"/>
    <w:rsid w:val="00AE28B4"/>
    <w:rsid w:val="00AE2A5C"/>
    <w:rsid w:val="00AE371D"/>
    <w:rsid w:val="00AE3891"/>
    <w:rsid w:val="00AE3C79"/>
    <w:rsid w:val="00AE48A8"/>
    <w:rsid w:val="00AE5AF2"/>
    <w:rsid w:val="00AE69E0"/>
    <w:rsid w:val="00AE6B9E"/>
    <w:rsid w:val="00AF0722"/>
    <w:rsid w:val="00AF0C95"/>
    <w:rsid w:val="00AF1347"/>
    <w:rsid w:val="00AF1354"/>
    <w:rsid w:val="00AF1EE7"/>
    <w:rsid w:val="00AF2166"/>
    <w:rsid w:val="00AF22BE"/>
    <w:rsid w:val="00AF443E"/>
    <w:rsid w:val="00AF5780"/>
    <w:rsid w:val="00AF5FEE"/>
    <w:rsid w:val="00AF6435"/>
    <w:rsid w:val="00AF6933"/>
    <w:rsid w:val="00AF69AD"/>
    <w:rsid w:val="00AF7B12"/>
    <w:rsid w:val="00B014C4"/>
    <w:rsid w:val="00B025FF"/>
    <w:rsid w:val="00B02DC8"/>
    <w:rsid w:val="00B03549"/>
    <w:rsid w:val="00B03950"/>
    <w:rsid w:val="00B04ED9"/>
    <w:rsid w:val="00B04F8F"/>
    <w:rsid w:val="00B0517B"/>
    <w:rsid w:val="00B05421"/>
    <w:rsid w:val="00B06F08"/>
    <w:rsid w:val="00B0724C"/>
    <w:rsid w:val="00B07F2E"/>
    <w:rsid w:val="00B11948"/>
    <w:rsid w:val="00B12B68"/>
    <w:rsid w:val="00B13ADB"/>
    <w:rsid w:val="00B13DC1"/>
    <w:rsid w:val="00B13E65"/>
    <w:rsid w:val="00B142C9"/>
    <w:rsid w:val="00B14FB7"/>
    <w:rsid w:val="00B16681"/>
    <w:rsid w:val="00B206B4"/>
    <w:rsid w:val="00B20709"/>
    <w:rsid w:val="00B21565"/>
    <w:rsid w:val="00B21A29"/>
    <w:rsid w:val="00B21F1F"/>
    <w:rsid w:val="00B22295"/>
    <w:rsid w:val="00B222C9"/>
    <w:rsid w:val="00B223A1"/>
    <w:rsid w:val="00B22582"/>
    <w:rsid w:val="00B2266D"/>
    <w:rsid w:val="00B2421D"/>
    <w:rsid w:val="00B253ED"/>
    <w:rsid w:val="00B26618"/>
    <w:rsid w:val="00B2732E"/>
    <w:rsid w:val="00B27A07"/>
    <w:rsid w:val="00B300AD"/>
    <w:rsid w:val="00B30623"/>
    <w:rsid w:val="00B31614"/>
    <w:rsid w:val="00B31634"/>
    <w:rsid w:val="00B31A87"/>
    <w:rsid w:val="00B31AAE"/>
    <w:rsid w:val="00B32BE2"/>
    <w:rsid w:val="00B32CD0"/>
    <w:rsid w:val="00B32D4E"/>
    <w:rsid w:val="00B33EB2"/>
    <w:rsid w:val="00B33ECD"/>
    <w:rsid w:val="00B33F76"/>
    <w:rsid w:val="00B341F7"/>
    <w:rsid w:val="00B3490A"/>
    <w:rsid w:val="00B3564E"/>
    <w:rsid w:val="00B35D7B"/>
    <w:rsid w:val="00B36204"/>
    <w:rsid w:val="00B36691"/>
    <w:rsid w:val="00B367AA"/>
    <w:rsid w:val="00B36EAC"/>
    <w:rsid w:val="00B37DAD"/>
    <w:rsid w:val="00B37F9E"/>
    <w:rsid w:val="00B37F9F"/>
    <w:rsid w:val="00B40D98"/>
    <w:rsid w:val="00B41579"/>
    <w:rsid w:val="00B417F5"/>
    <w:rsid w:val="00B435A5"/>
    <w:rsid w:val="00B43715"/>
    <w:rsid w:val="00B43978"/>
    <w:rsid w:val="00B44E93"/>
    <w:rsid w:val="00B45310"/>
    <w:rsid w:val="00B45980"/>
    <w:rsid w:val="00B45B22"/>
    <w:rsid w:val="00B45C33"/>
    <w:rsid w:val="00B4602A"/>
    <w:rsid w:val="00B46CCE"/>
    <w:rsid w:val="00B471E0"/>
    <w:rsid w:val="00B47647"/>
    <w:rsid w:val="00B478B7"/>
    <w:rsid w:val="00B50068"/>
    <w:rsid w:val="00B50FAC"/>
    <w:rsid w:val="00B51104"/>
    <w:rsid w:val="00B51317"/>
    <w:rsid w:val="00B51955"/>
    <w:rsid w:val="00B52416"/>
    <w:rsid w:val="00B5292B"/>
    <w:rsid w:val="00B52D3D"/>
    <w:rsid w:val="00B531E1"/>
    <w:rsid w:val="00B532D9"/>
    <w:rsid w:val="00B53A20"/>
    <w:rsid w:val="00B53AD7"/>
    <w:rsid w:val="00B546CC"/>
    <w:rsid w:val="00B54A04"/>
    <w:rsid w:val="00B54C0A"/>
    <w:rsid w:val="00B54DA9"/>
    <w:rsid w:val="00B55385"/>
    <w:rsid w:val="00B5698B"/>
    <w:rsid w:val="00B56A86"/>
    <w:rsid w:val="00B56B0E"/>
    <w:rsid w:val="00B57396"/>
    <w:rsid w:val="00B57A32"/>
    <w:rsid w:val="00B6005A"/>
    <w:rsid w:val="00B604A8"/>
    <w:rsid w:val="00B604AB"/>
    <w:rsid w:val="00B605AD"/>
    <w:rsid w:val="00B6090B"/>
    <w:rsid w:val="00B60ADD"/>
    <w:rsid w:val="00B6171E"/>
    <w:rsid w:val="00B626FD"/>
    <w:rsid w:val="00B63415"/>
    <w:rsid w:val="00B64CA3"/>
    <w:rsid w:val="00B65446"/>
    <w:rsid w:val="00B66A5D"/>
    <w:rsid w:val="00B66EC1"/>
    <w:rsid w:val="00B67308"/>
    <w:rsid w:val="00B67AFA"/>
    <w:rsid w:val="00B70110"/>
    <w:rsid w:val="00B70234"/>
    <w:rsid w:val="00B70691"/>
    <w:rsid w:val="00B70CD5"/>
    <w:rsid w:val="00B71A1D"/>
    <w:rsid w:val="00B71F0A"/>
    <w:rsid w:val="00B72167"/>
    <w:rsid w:val="00B72212"/>
    <w:rsid w:val="00B726CA"/>
    <w:rsid w:val="00B729F8"/>
    <w:rsid w:val="00B737CB"/>
    <w:rsid w:val="00B737E8"/>
    <w:rsid w:val="00B73A54"/>
    <w:rsid w:val="00B73A94"/>
    <w:rsid w:val="00B73E14"/>
    <w:rsid w:val="00B74113"/>
    <w:rsid w:val="00B7484E"/>
    <w:rsid w:val="00B75456"/>
    <w:rsid w:val="00B7546F"/>
    <w:rsid w:val="00B759B9"/>
    <w:rsid w:val="00B75E01"/>
    <w:rsid w:val="00B764DF"/>
    <w:rsid w:val="00B76E1D"/>
    <w:rsid w:val="00B77F4D"/>
    <w:rsid w:val="00B803D5"/>
    <w:rsid w:val="00B82252"/>
    <w:rsid w:val="00B824F5"/>
    <w:rsid w:val="00B831A4"/>
    <w:rsid w:val="00B83784"/>
    <w:rsid w:val="00B83C02"/>
    <w:rsid w:val="00B84061"/>
    <w:rsid w:val="00B84276"/>
    <w:rsid w:val="00B846ED"/>
    <w:rsid w:val="00B84DEA"/>
    <w:rsid w:val="00B85F3E"/>
    <w:rsid w:val="00B86086"/>
    <w:rsid w:val="00B8690A"/>
    <w:rsid w:val="00B872D7"/>
    <w:rsid w:val="00B87581"/>
    <w:rsid w:val="00B90FAA"/>
    <w:rsid w:val="00B91A97"/>
    <w:rsid w:val="00B91ECE"/>
    <w:rsid w:val="00B92D69"/>
    <w:rsid w:val="00B932CB"/>
    <w:rsid w:val="00B933CE"/>
    <w:rsid w:val="00B939E4"/>
    <w:rsid w:val="00B93A4D"/>
    <w:rsid w:val="00B93C0C"/>
    <w:rsid w:val="00B93CAE"/>
    <w:rsid w:val="00B9630B"/>
    <w:rsid w:val="00B96AEE"/>
    <w:rsid w:val="00B96B16"/>
    <w:rsid w:val="00B97457"/>
    <w:rsid w:val="00B97A9A"/>
    <w:rsid w:val="00BA0804"/>
    <w:rsid w:val="00BA16ED"/>
    <w:rsid w:val="00BA19F5"/>
    <w:rsid w:val="00BA2081"/>
    <w:rsid w:val="00BA27DB"/>
    <w:rsid w:val="00BA3683"/>
    <w:rsid w:val="00BA3A89"/>
    <w:rsid w:val="00BA5081"/>
    <w:rsid w:val="00BA5B8A"/>
    <w:rsid w:val="00BA6369"/>
    <w:rsid w:val="00BA7A03"/>
    <w:rsid w:val="00BA7B40"/>
    <w:rsid w:val="00BB0222"/>
    <w:rsid w:val="00BB0522"/>
    <w:rsid w:val="00BB0CC6"/>
    <w:rsid w:val="00BB11FA"/>
    <w:rsid w:val="00BB17BD"/>
    <w:rsid w:val="00BB1E7E"/>
    <w:rsid w:val="00BB2CF9"/>
    <w:rsid w:val="00BB2E1B"/>
    <w:rsid w:val="00BB3122"/>
    <w:rsid w:val="00BB34FA"/>
    <w:rsid w:val="00BB3962"/>
    <w:rsid w:val="00BB43CD"/>
    <w:rsid w:val="00BB45EF"/>
    <w:rsid w:val="00BB4950"/>
    <w:rsid w:val="00BB4D93"/>
    <w:rsid w:val="00BB4F1C"/>
    <w:rsid w:val="00BB548C"/>
    <w:rsid w:val="00BB5765"/>
    <w:rsid w:val="00BB57D3"/>
    <w:rsid w:val="00BB57F5"/>
    <w:rsid w:val="00BB5A53"/>
    <w:rsid w:val="00BB5CC1"/>
    <w:rsid w:val="00BB774A"/>
    <w:rsid w:val="00BB7D83"/>
    <w:rsid w:val="00BC0158"/>
    <w:rsid w:val="00BC0195"/>
    <w:rsid w:val="00BC0A39"/>
    <w:rsid w:val="00BC2FCC"/>
    <w:rsid w:val="00BC419B"/>
    <w:rsid w:val="00BC4B40"/>
    <w:rsid w:val="00BC4D69"/>
    <w:rsid w:val="00BC4DBE"/>
    <w:rsid w:val="00BC53BA"/>
    <w:rsid w:val="00BC563F"/>
    <w:rsid w:val="00BC5833"/>
    <w:rsid w:val="00BC60FB"/>
    <w:rsid w:val="00BC68B7"/>
    <w:rsid w:val="00BC6D40"/>
    <w:rsid w:val="00BD014D"/>
    <w:rsid w:val="00BD07F8"/>
    <w:rsid w:val="00BD0BC4"/>
    <w:rsid w:val="00BD0E6B"/>
    <w:rsid w:val="00BD148A"/>
    <w:rsid w:val="00BD1BF4"/>
    <w:rsid w:val="00BD2517"/>
    <w:rsid w:val="00BD2FF9"/>
    <w:rsid w:val="00BD38F7"/>
    <w:rsid w:val="00BD3AB8"/>
    <w:rsid w:val="00BD4447"/>
    <w:rsid w:val="00BD53CF"/>
    <w:rsid w:val="00BD55A2"/>
    <w:rsid w:val="00BD5602"/>
    <w:rsid w:val="00BD5C7B"/>
    <w:rsid w:val="00BD5DEE"/>
    <w:rsid w:val="00BD6817"/>
    <w:rsid w:val="00BD688B"/>
    <w:rsid w:val="00BD7AC2"/>
    <w:rsid w:val="00BE003F"/>
    <w:rsid w:val="00BE07E2"/>
    <w:rsid w:val="00BE0BA1"/>
    <w:rsid w:val="00BE0BBC"/>
    <w:rsid w:val="00BE131B"/>
    <w:rsid w:val="00BE2278"/>
    <w:rsid w:val="00BE23FF"/>
    <w:rsid w:val="00BE2D53"/>
    <w:rsid w:val="00BE3F42"/>
    <w:rsid w:val="00BE4275"/>
    <w:rsid w:val="00BE4F5E"/>
    <w:rsid w:val="00BE5393"/>
    <w:rsid w:val="00BE69AB"/>
    <w:rsid w:val="00BE6C45"/>
    <w:rsid w:val="00BE730A"/>
    <w:rsid w:val="00BE7E30"/>
    <w:rsid w:val="00BF0CA6"/>
    <w:rsid w:val="00BF1256"/>
    <w:rsid w:val="00BF1F5F"/>
    <w:rsid w:val="00BF1F81"/>
    <w:rsid w:val="00BF1FEE"/>
    <w:rsid w:val="00BF202A"/>
    <w:rsid w:val="00BF2709"/>
    <w:rsid w:val="00BF2A30"/>
    <w:rsid w:val="00BF2A6A"/>
    <w:rsid w:val="00BF31AC"/>
    <w:rsid w:val="00BF3F56"/>
    <w:rsid w:val="00BF4032"/>
    <w:rsid w:val="00BF5B28"/>
    <w:rsid w:val="00BF63DF"/>
    <w:rsid w:val="00BF6A8E"/>
    <w:rsid w:val="00BF77BF"/>
    <w:rsid w:val="00BF7926"/>
    <w:rsid w:val="00C007D0"/>
    <w:rsid w:val="00C01587"/>
    <w:rsid w:val="00C01DB1"/>
    <w:rsid w:val="00C0282E"/>
    <w:rsid w:val="00C030A2"/>
    <w:rsid w:val="00C032E6"/>
    <w:rsid w:val="00C03640"/>
    <w:rsid w:val="00C03D75"/>
    <w:rsid w:val="00C04B9E"/>
    <w:rsid w:val="00C054D4"/>
    <w:rsid w:val="00C0568C"/>
    <w:rsid w:val="00C06014"/>
    <w:rsid w:val="00C060D7"/>
    <w:rsid w:val="00C07256"/>
    <w:rsid w:val="00C07A3A"/>
    <w:rsid w:val="00C10342"/>
    <w:rsid w:val="00C104B2"/>
    <w:rsid w:val="00C10766"/>
    <w:rsid w:val="00C10D7E"/>
    <w:rsid w:val="00C10EEA"/>
    <w:rsid w:val="00C10F73"/>
    <w:rsid w:val="00C11D5A"/>
    <w:rsid w:val="00C11D6D"/>
    <w:rsid w:val="00C123AF"/>
    <w:rsid w:val="00C12504"/>
    <w:rsid w:val="00C1294C"/>
    <w:rsid w:val="00C12BFA"/>
    <w:rsid w:val="00C12F20"/>
    <w:rsid w:val="00C133EF"/>
    <w:rsid w:val="00C13B5C"/>
    <w:rsid w:val="00C13D28"/>
    <w:rsid w:val="00C13D3E"/>
    <w:rsid w:val="00C13D93"/>
    <w:rsid w:val="00C145FB"/>
    <w:rsid w:val="00C14E39"/>
    <w:rsid w:val="00C15A71"/>
    <w:rsid w:val="00C16161"/>
    <w:rsid w:val="00C16698"/>
    <w:rsid w:val="00C1744A"/>
    <w:rsid w:val="00C17F09"/>
    <w:rsid w:val="00C20625"/>
    <w:rsid w:val="00C21778"/>
    <w:rsid w:val="00C22349"/>
    <w:rsid w:val="00C22553"/>
    <w:rsid w:val="00C24D77"/>
    <w:rsid w:val="00C25063"/>
    <w:rsid w:val="00C25172"/>
    <w:rsid w:val="00C25497"/>
    <w:rsid w:val="00C2551D"/>
    <w:rsid w:val="00C26DB1"/>
    <w:rsid w:val="00C26EA9"/>
    <w:rsid w:val="00C27386"/>
    <w:rsid w:val="00C27566"/>
    <w:rsid w:val="00C27D36"/>
    <w:rsid w:val="00C27E2C"/>
    <w:rsid w:val="00C30597"/>
    <w:rsid w:val="00C31900"/>
    <w:rsid w:val="00C32198"/>
    <w:rsid w:val="00C321CF"/>
    <w:rsid w:val="00C32708"/>
    <w:rsid w:val="00C32758"/>
    <w:rsid w:val="00C32E73"/>
    <w:rsid w:val="00C33F49"/>
    <w:rsid w:val="00C34187"/>
    <w:rsid w:val="00C3493C"/>
    <w:rsid w:val="00C34FAA"/>
    <w:rsid w:val="00C367B2"/>
    <w:rsid w:val="00C3728F"/>
    <w:rsid w:val="00C372D5"/>
    <w:rsid w:val="00C40325"/>
    <w:rsid w:val="00C40C21"/>
    <w:rsid w:val="00C40F4C"/>
    <w:rsid w:val="00C436F6"/>
    <w:rsid w:val="00C43786"/>
    <w:rsid w:val="00C43E4A"/>
    <w:rsid w:val="00C43FE7"/>
    <w:rsid w:val="00C447AD"/>
    <w:rsid w:val="00C448C2"/>
    <w:rsid w:val="00C44C89"/>
    <w:rsid w:val="00C44EF4"/>
    <w:rsid w:val="00C45204"/>
    <w:rsid w:val="00C45B6C"/>
    <w:rsid w:val="00C469E0"/>
    <w:rsid w:val="00C47350"/>
    <w:rsid w:val="00C50136"/>
    <w:rsid w:val="00C50167"/>
    <w:rsid w:val="00C50444"/>
    <w:rsid w:val="00C50DF7"/>
    <w:rsid w:val="00C50FB4"/>
    <w:rsid w:val="00C510A3"/>
    <w:rsid w:val="00C517B8"/>
    <w:rsid w:val="00C534BC"/>
    <w:rsid w:val="00C54475"/>
    <w:rsid w:val="00C54623"/>
    <w:rsid w:val="00C546CD"/>
    <w:rsid w:val="00C54ADD"/>
    <w:rsid w:val="00C55A14"/>
    <w:rsid w:val="00C56219"/>
    <w:rsid w:val="00C5640D"/>
    <w:rsid w:val="00C5653C"/>
    <w:rsid w:val="00C56B03"/>
    <w:rsid w:val="00C56CF9"/>
    <w:rsid w:val="00C57168"/>
    <w:rsid w:val="00C57265"/>
    <w:rsid w:val="00C5785C"/>
    <w:rsid w:val="00C57F08"/>
    <w:rsid w:val="00C60DD9"/>
    <w:rsid w:val="00C61D14"/>
    <w:rsid w:val="00C621D7"/>
    <w:rsid w:val="00C6256A"/>
    <w:rsid w:val="00C62D11"/>
    <w:rsid w:val="00C62E0B"/>
    <w:rsid w:val="00C6395B"/>
    <w:rsid w:val="00C63DC5"/>
    <w:rsid w:val="00C64556"/>
    <w:rsid w:val="00C64FEB"/>
    <w:rsid w:val="00C6547D"/>
    <w:rsid w:val="00C65C3D"/>
    <w:rsid w:val="00C65EA2"/>
    <w:rsid w:val="00C66156"/>
    <w:rsid w:val="00C665A1"/>
    <w:rsid w:val="00C668CD"/>
    <w:rsid w:val="00C669E7"/>
    <w:rsid w:val="00C66FB8"/>
    <w:rsid w:val="00C67187"/>
    <w:rsid w:val="00C674FB"/>
    <w:rsid w:val="00C67A24"/>
    <w:rsid w:val="00C67D94"/>
    <w:rsid w:val="00C708DF"/>
    <w:rsid w:val="00C7110E"/>
    <w:rsid w:val="00C71CEC"/>
    <w:rsid w:val="00C71E75"/>
    <w:rsid w:val="00C720DB"/>
    <w:rsid w:val="00C73BAF"/>
    <w:rsid w:val="00C73E50"/>
    <w:rsid w:val="00C7443A"/>
    <w:rsid w:val="00C74C2C"/>
    <w:rsid w:val="00C751E1"/>
    <w:rsid w:val="00C76189"/>
    <w:rsid w:val="00C76B29"/>
    <w:rsid w:val="00C76E63"/>
    <w:rsid w:val="00C77177"/>
    <w:rsid w:val="00C80CA8"/>
    <w:rsid w:val="00C80D82"/>
    <w:rsid w:val="00C81AEB"/>
    <w:rsid w:val="00C82AF0"/>
    <w:rsid w:val="00C83273"/>
    <w:rsid w:val="00C842C7"/>
    <w:rsid w:val="00C8487B"/>
    <w:rsid w:val="00C848D9"/>
    <w:rsid w:val="00C8517B"/>
    <w:rsid w:val="00C85AF5"/>
    <w:rsid w:val="00C85B37"/>
    <w:rsid w:val="00C861F4"/>
    <w:rsid w:val="00C86371"/>
    <w:rsid w:val="00C86564"/>
    <w:rsid w:val="00C86D51"/>
    <w:rsid w:val="00C86E17"/>
    <w:rsid w:val="00C87C39"/>
    <w:rsid w:val="00C90577"/>
    <w:rsid w:val="00C9101E"/>
    <w:rsid w:val="00C91124"/>
    <w:rsid w:val="00C9154E"/>
    <w:rsid w:val="00C92960"/>
    <w:rsid w:val="00C92A3A"/>
    <w:rsid w:val="00C931C0"/>
    <w:rsid w:val="00C93644"/>
    <w:rsid w:val="00C93CFC"/>
    <w:rsid w:val="00C9407E"/>
    <w:rsid w:val="00C9489F"/>
    <w:rsid w:val="00C948F0"/>
    <w:rsid w:val="00C94C70"/>
    <w:rsid w:val="00C957E0"/>
    <w:rsid w:val="00C965F6"/>
    <w:rsid w:val="00CA0722"/>
    <w:rsid w:val="00CA11AC"/>
    <w:rsid w:val="00CA12F9"/>
    <w:rsid w:val="00CA153F"/>
    <w:rsid w:val="00CA2243"/>
    <w:rsid w:val="00CA2385"/>
    <w:rsid w:val="00CA2CB1"/>
    <w:rsid w:val="00CA2D39"/>
    <w:rsid w:val="00CA32BF"/>
    <w:rsid w:val="00CA6A2A"/>
    <w:rsid w:val="00CA6BA7"/>
    <w:rsid w:val="00CA6C57"/>
    <w:rsid w:val="00CA6DC5"/>
    <w:rsid w:val="00CA6E6F"/>
    <w:rsid w:val="00CA769F"/>
    <w:rsid w:val="00CA76D0"/>
    <w:rsid w:val="00CA7A26"/>
    <w:rsid w:val="00CB0B12"/>
    <w:rsid w:val="00CB0B52"/>
    <w:rsid w:val="00CB0DF9"/>
    <w:rsid w:val="00CB1024"/>
    <w:rsid w:val="00CB1098"/>
    <w:rsid w:val="00CB10B9"/>
    <w:rsid w:val="00CB17C7"/>
    <w:rsid w:val="00CB2877"/>
    <w:rsid w:val="00CB2A2B"/>
    <w:rsid w:val="00CB2C98"/>
    <w:rsid w:val="00CB38E2"/>
    <w:rsid w:val="00CB3AD9"/>
    <w:rsid w:val="00CB3E53"/>
    <w:rsid w:val="00CB4914"/>
    <w:rsid w:val="00CB4CAB"/>
    <w:rsid w:val="00CB4DEF"/>
    <w:rsid w:val="00CB55F0"/>
    <w:rsid w:val="00CB5939"/>
    <w:rsid w:val="00CB598A"/>
    <w:rsid w:val="00CB5D57"/>
    <w:rsid w:val="00CB63E8"/>
    <w:rsid w:val="00CB6433"/>
    <w:rsid w:val="00CB685F"/>
    <w:rsid w:val="00CB6C0C"/>
    <w:rsid w:val="00CB75D3"/>
    <w:rsid w:val="00CB7757"/>
    <w:rsid w:val="00CC05F8"/>
    <w:rsid w:val="00CC0650"/>
    <w:rsid w:val="00CC187F"/>
    <w:rsid w:val="00CC1E94"/>
    <w:rsid w:val="00CC21B9"/>
    <w:rsid w:val="00CC2523"/>
    <w:rsid w:val="00CC2AAE"/>
    <w:rsid w:val="00CC2F5F"/>
    <w:rsid w:val="00CC3BAD"/>
    <w:rsid w:val="00CC3F8C"/>
    <w:rsid w:val="00CC423E"/>
    <w:rsid w:val="00CC459C"/>
    <w:rsid w:val="00CC4DC6"/>
    <w:rsid w:val="00CC5080"/>
    <w:rsid w:val="00CC56DA"/>
    <w:rsid w:val="00CC587A"/>
    <w:rsid w:val="00CC58A2"/>
    <w:rsid w:val="00CC65A3"/>
    <w:rsid w:val="00CC672F"/>
    <w:rsid w:val="00CC67C8"/>
    <w:rsid w:val="00CC73ED"/>
    <w:rsid w:val="00CC7AFA"/>
    <w:rsid w:val="00CD00B1"/>
    <w:rsid w:val="00CD0E7F"/>
    <w:rsid w:val="00CD1DB9"/>
    <w:rsid w:val="00CD1DBC"/>
    <w:rsid w:val="00CD1E35"/>
    <w:rsid w:val="00CD2810"/>
    <w:rsid w:val="00CD39C5"/>
    <w:rsid w:val="00CD3E98"/>
    <w:rsid w:val="00CD4019"/>
    <w:rsid w:val="00CD4177"/>
    <w:rsid w:val="00CD4881"/>
    <w:rsid w:val="00CD5076"/>
    <w:rsid w:val="00CD5230"/>
    <w:rsid w:val="00CD5883"/>
    <w:rsid w:val="00CD5AF5"/>
    <w:rsid w:val="00CD6B44"/>
    <w:rsid w:val="00CD6BB8"/>
    <w:rsid w:val="00CD72B6"/>
    <w:rsid w:val="00CD73F8"/>
    <w:rsid w:val="00CD798E"/>
    <w:rsid w:val="00CD7E74"/>
    <w:rsid w:val="00CE001C"/>
    <w:rsid w:val="00CE01A0"/>
    <w:rsid w:val="00CE0E6E"/>
    <w:rsid w:val="00CE15CF"/>
    <w:rsid w:val="00CE1A74"/>
    <w:rsid w:val="00CE1CEA"/>
    <w:rsid w:val="00CE20BE"/>
    <w:rsid w:val="00CE26E0"/>
    <w:rsid w:val="00CE2F80"/>
    <w:rsid w:val="00CE3223"/>
    <w:rsid w:val="00CE3C6A"/>
    <w:rsid w:val="00CE4461"/>
    <w:rsid w:val="00CE53F7"/>
    <w:rsid w:val="00CE559C"/>
    <w:rsid w:val="00CE5B19"/>
    <w:rsid w:val="00CE5E41"/>
    <w:rsid w:val="00CE5FFE"/>
    <w:rsid w:val="00CE6D4E"/>
    <w:rsid w:val="00CE7426"/>
    <w:rsid w:val="00CE777C"/>
    <w:rsid w:val="00CF0923"/>
    <w:rsid w:val="00CF0E9E"/>
    <w:rsid w:val="00CF148F"/>
    <w:rsid w:val="00CF27A2"/>
    <w:rsid w:val="00CF3319"/>
    <w:rsid w:val="00CF3DDE"/>
    <w:rsid w:val="00CF3F40"/>
    <w:rsid w:val="00CF3F9F"/>
    <w:rsid w:val="00CF44BF"/>
    <w:rsid w:val="00CF45DE"/>
    <w:rsid w:val="00CF467C"/>
    <w:rsid w:val="00CF46BC"/>
    <w:rsid w:val="00CF5353"/>
    <w:rsid w:val="00CF54A0"/>
    <w:rsid w:val="00CF5699"/>
    <w:rsid w:val="00CF5B07"/>
    <w:rsid w:val="00CF5C24"/>
    <w:rsid w:val="00CF63BB"/>
    <w:rsid w:val="00CF6614"/>
    <w:rsid w:val="00CF6A46"/>
    <w:rsid w:val="00CF702F"/>
    <w:rsid w:val="00D0003B"/>
    <w:rsid w:val="00D000E1"/>
    <w:rsid w:val="00D00913"/>
    <w:rsid w:val="00D00BCF"/>
    <w:rsid w:val="00D00C6F"/>
    <w:rsid w:val="00D00F6C"/>
    <w:rsid w:val="00D01161"/>
    <w:rsid w:val="00D011F6"/>
    <w:rsid w:val="00D01A4B"/>
    <w:rsid w:val="00D01D8A"/>
    <w:rsid w:val="00D01F57"/>
    <w:rsid w:val="00D02279"/>
    <w:rsid w:val="00D02469"/>
    <w:rsid w:val="00D03185"/>
    <w:rsid w:val="00D03732"/>
    <w:rsid w:val="00D03C84"/>
    <w:rsid w:val="00D03DF7"/>
    <w:rsid w:val="00D046D7"/>
    <w:rsid w:val="00D04A7C"/>
    <w:rsid w:val="00D04F08"/>
    <w:rsid w:val="00D052DA"/>
    <w:rsid w:val="00D05726"/>
    <w:rsid w:val="00D059A7"/>
    <w:rsid w:val="00D06873"/>
    <w:rsid w:val="00D068DB"/>
    <w:rsid w:val="00D07922"/>
    <w:rsid w:val="00D07A66"/>
    <w:rsid w:val="00D07CD7"/>
    <w:rsid w:val="00D103B7"/>
    <w:rsid w:val="00D105DD"/>
    <w:rsid w:val="00D11FE2"/>
    <w:rsid w:val="00D1272F"/>
    <w:rsid w:val="00D12B40"/>
    <w:rsid w:val="00D12FC2"/>
    <w:rsid w:val="00D13395"/>
    <w:rsid w:val="00D13768"/>
    <w:rsid w:val="00D137FF"/>
    <w:rsid w:val="00D1397D"/>
    <w:rsid w:val="00D13A15"/>
    <w:rsid w:val="00D13C7F"/>
    <w:rsid w:val="00D13D35"/>
    <w:rsid w:val="00D13E46"/>
    <w:rsid w:val="00D14000"/>
    <w:rsid w:val="00D14003"/>
    <w:rsid w:val="00D14D38"/>
    <w:rsid w:val="00D154CA"/>
    <w:rsid w:val="00D15852"/>
    <w:rsid w:val="00D1590E"/>
    <w:rsid w:val="00D16573"/>
    <w:rsid w:val="00D16931"/>
    <w:rsid w:val="00D170E5"/>
    <w:rsid w:val="00D1712D"/>
    <w:rsid w:val="00D17754"/>
    <w:rsid w:val="00D203FF"/>
    <w:rsid w:val="00D209E0"/>
    <w:rsid w:val="00D20D86"/>
    <w:rsid w:val="00D212B6"/>
    <w:rsid w:val="00D21B07"/>
    <w:rsid w:val="00D2217C"/>
    <w:rsid w:val="00D22AE0"/>
    <w:rsid w:val="00D2319E"/>
    <w:rsid w:val="00D231EB"/>
    <w:rsid w:val="00D2458E"/>
    <w:rsid w:val="00D24E4D"/>
    <w:rsid w:val="00D24EBD"/>
    <w:rsid w:val="00D2594C"/>
    <w:rsid w:val="00D25ADD"/>
    <w:rsid w:val="00D26D86"/>
    <w:rsid w:val="00D27D44"/>
    <w:rsid w:val="00D30761"/>
    <w:rsid w:val="00D3084A"/>
    <w:rsid w:val="00D30898"/>
    <w:rsid w:val="00D31475"/>
    <w:rsid w:val="00D315BB"/>
    <w:rsid w:val="00D323FD"/>
    <w:rsid w:val="00D325CC"/>
    <w:rsid w:val="00D328A0"/>
    <w:rsid w:val="00D328D5"/>
    <w:rsid w:val="00D32A79"/>
    <w:rsid w:val="00D32F4C"/>
    <w:rsid w:val="00D330C4"/>
    <w:rsid w:val="00D333EE"/>
    <w:rsid w:val="00D3367B"/>
    <w:rsid w:val="00D34B31"/>
    <w:rsid w:val="00D35704"/>
    <w:rsid w:val="00D35C5F"/>
    <w:rsid w:val="00D361A5"/>
    <w:rsid w:val="00D36CAB"/>
    <w:rsid w:val="00D373DE"/>
    <w:rsid w:val="00D40062"/>
    <w:rsid w:val="00D4026B"/>
    <w:rsid w:val="00D41AA6"/>
    <w:rsid w:val="00D421DC"/>
    <w:rsid w:val="00D42376"/>
    <w:rsid w:val="00D42ED7"/>
    <w:rsid w:val="00D433C6"/>
    <w:rsid w:val="00D44762"/>
    <w:rsid w:val="00D44BF0"/>
    <w:rsid w:val="00D45592"/>
    <w:rsid w:val="00D457F2"/>
    <w:rsid w:val="00D46522"/>
    <w:rsid w:val="00D46B1D"/>
    <w:rsid w:val="00D46D68"/>
    <w:rsid w:val="00D471BC"/>
    <w:rsid w:val="00D47A19"/>
    <w:rsid w:val="00D47F36"/>
    <w:rsid w:val="00D509B7"/>
    <w:rsid w:val="00D50A3D"/>
    <w:rsid w:val="00D50DB0"/>
    <w:rsid w:val="00D51811"/>
    <w:rsid w:val="00D52039"/>
    <w:rsid w:val="00D52E63"/>
    <w:rsid w:val="00D52F91"/>
    <w:rsid w:val="00D532E0"/>
    <w:rsid w:val="00D53C19"/>
    <w:rsid w:val="00D53F6C"/>
    <w:rsid w:val="00D54116"/>
    <w:rsid w:val="00D5430B"/>
    <w:rsid w:val="00D546C9"/>
    <w:rsid w:val="00D54F94"/>
    <w:rsid w:val="00D5518F"/>
    <w:rsid w:val="00D5610F"/>
    <w:rsid w:val="00D564B3"/>
    <w:rsid w:val="00D5751B"/>
    <w:rsid w:val="00D575E8"/>
    <w:rsid w:val="00D579A2"/>
    <w:rsid w:val="00D6011C"/>
    <w:rsid w:val="00D6036B"/>
    <w:rsid w:val="00D603B0"/>
    <w:rsid w:val="00D6056B"/>
    <w:rsid w:val="00D60616"/>
    <w:rsid w:val="00D61294"/>
    <w:rsid w:val="00D61E2D"/>
    <w:rsid w:val="00D6207B"/>
    <w:rsid w:val="00D620C8"/>
    <w:rsid w:val="00D62F82"/>
    <w:rsid w:val="00D63326"/>
    <w:rsid w:val="00D63368"/>
    <w:rsid w:val="00D6353D"/>
    <w:rsid w:val="00D6500A"/>
    <w:rsid w:val="00D654B1"/>
    <w:rsid w:val="00D65787"/>
    <w:rsid w:val="00D65CBD"/>
    <w:rsid w:val="00D66190"/>
    <w:rsid w:val="00D66270"/>
    <w:rsid w:val="00D6668D"/>
    <w:rsid w:val="00D66B6C"/>
    <w:rsid w:val="00D711B4"/>
    <w:rsid w:val="00D722B1"/>
    <w:rsid w:val="00D727FA"/>
    <w:rsid w:val="00D72D50"/>
    <w:rsid w:val="00D7314B"/>
    <w:rsid w:val="00D73279"/>
    <w:rsid w:val="00D73E7D"/>
    <w:rsid w:val="00D745B2"/>
    <w:rsid w:val="00D76222"/>
    <w:rsid w:val="00D762ED"/>
    <w:rsid w:val="00D76581"/>
    <w:rsid w:val="00D766FA"/>
    <w:rsid w:val="00D76917"/>
    <w:rsid w:val="00D7783C"/>
    <w:rsid w:val="00D77AB0"/>
    <w:rsid w:val="00D80030"/>
    <w:rsid w:val="00D805E6"/>
    <w:rsid w:val="00D80BA0"/>
    <w:rsid w:val="00D80E19"/>
    <w:rsid w:val="00D83336"/>
    <w:rsid w:val="00D83352"/>
    <w:rsid w:val="00D83701"/>
    <w:rsid w:val="00D838AC"/>
    <w:rsid w:val="00D83929"/>
    <w:rsid w:val="00D84B41"/>
    <w:rsid w:val="00D85E83"/>
    <w:rsid w:val="00D86387"/>
    <w:rsid w:val="00D86EBE"/>
    <w:rsid w:val="00D87B96"/>
    <w:rsid w:val="00D90342"/>
    <w:rsid w:val="00D91DAB"/>
    <w:rsid w:val="00D91F46"/>
    <w:rsid w:val="00D9224A"/>
    <w:rsid w:val="00D92C33"/>
    <w:rsid w:val="00D92CAF"/>
    <w:rsid w:val="00D92F19"/>
    <w:rsid w:val="00D940D3"/>
    <w:rsid w:val="00D9456E"/>
    <w:rsid w:val="00D945CE"/>
    <w:rsid w:val="00D946B6"/>
    <w:rsid w:val="00D94F61"/>
    <w:rsid w:val="00D95794"/>
    <w:rsid w:val="00D96655"/>
    <w:rsid w:val="00D966C8"/>
    <w:rsid w:val="00D96E31"/>
    <w:rsid w:val="00DA1E0A"/>
    <w:rsid w:val="00DA263F"/>
    <w:rsid w:val="00DA3AF6"/>
    <w:rsid w:val="00DA40FD"/>
    <w:rsid w:val="00DA4128"/>
    <w:rsid w:val="00DA4180"/>
    <w:rsid w:val="00DA54CF"/>
    <w:rsid w:val="00DA5CBE"/>
    <w:rsid w:val="00DA64E1"/>
    <w:rsid w:val="00DA658B"/>
    <w:rsid w:val="00DA65ED"/>
    <w:rsid w:val="00DA682E"/>
    <w:rsid w:val="00DA6AEC"/>
    <w:rsid w:val="00DA6DCF"/>
    <w:rsid w:val="00DA73DB"/>
    <w:rsid w:val="00DA7820"/>
    <w:rsid w:val="00DB0094"/>
    <w:rsid w:val="00DB039C"/>
    <w:rsid w:val="00DB0B9A"/>
    <w:rsid w:val="00DB2341"/>
    <w:rsid w:val="00DB25C9"/>
    <w:rsid w:val="00DB2F04"/>
    <w:rsid w:val="00DB3260"/>
    <w:rsid w:val="00DB4AB6"/>
    <w:rsid w:val="00DB5841"/>
    <w:rsid w:val="00DB5C3C"/>
    <w:rsid w:val="00DB5C5F"/>
    <w:rsid w:val="00DB69C2"/>
    <w:rsid w:val="00DB6C9D"/>
    <w:rsid w:val="00DB70B2"/>
    <w:rsid w:val="00DB7208"/>
    <w:rsid w:val="00DB7CBF"/>
    <w:rsid w:val="00DC006F"/>
    <w:rsid w:val="00DC064D"/>
    <w:rsid w:val="00DC09FB"/>
    <w:rsid w:val="00DC0DC3"/>
    <w:rsid w:val="00DC0E31"/>
    <w:rsid w:val="00DC25D3"/>
    <w:rsid w:val="00DC29EB"/>
    <w:rsid w:val="00DC37AE"/>
    <w:rsid w:val="00DC3DDB"/>
    <w:rsid w:val="00DC4D76"/>
    <w:rsid w:val="00DC4F28"/>
    <w:rsid w:val="00DC51DF"/>
    <w:rsid w:val="00DC6917"/>
    <w:rsid w:val="00DC7852"/>
    <w:rsid w:val="00DC7F5E"/>
    <w:rsid w:val="00DD016F"/>
    <w:rsid w:val="00DD03D0"/>
    <w:rsid w:val="00DD0558"/>
    <w:rsid w:val="00DD0660"/>
    <w:rsid w:val="00DD0A6F"/>
    <w:rsid w:val="00DD16F1"/>
    <w:rsid w:val="00DD1736"/>
    <w:rsid w:val="00DD1A28"/>
    <w:rsid w:val="00DD1A80"/>
    <w:rsid w:val="00DD2668"/>
    <w:rsid w:val="00DD28F8"/>
    <w:rsid w:val="00DD2C17"/>
    <w:rsid w:val="00DD3E30"/>
    <w:rsid w:val="00DD4287"/>
    <w:rsid w:val="00DD4FC8"/>
    <w:rsid w:val="00DD5DAD"/>
    <w:rsid w:val="00DD5EEA"/>
    <w:rsid w:val="00DD5FC4"/>
    <w:rsid w:val="00DD65C5"/>
    <w:rsid w:val="00DD68D4"/>
    <w:rsid w:val="00DD6AF0"/>
    <w:rsid w:val="00DD71FC"/>
    <w:rsid w:val="00DD7C79"/>
    <w:rsid w:val="00DE0253"/>
    <w:rsid w:val="00DE0408"/>
    <w:rsid w:val="00DE04B4"/>
    <w:rsid w:val="00DE0E71"/>
    <w:rsid w:val="00DE23B7"/>
    <w:rsid w:val="00DE2A44"/>
    <w:rsid w:val="00DE314C"/>
    <w:rsid w:val="00DE34CF"/>
    <w:rsid w:val="00DE362C"/>
    <w:rsid w:val="00DE3833"/>
    <w:rsid w:val="00DE594A"/>
    <w:rsid w:val="00DE5B66"/>
    <w:rsid w:val="00DE5D57"/>
    <w:rsid w:val="00DE5EFF"/>
    <w:rsid w:val="00DE61FB"/>
    <w:rsid w:val="00DE63FB"/>
    <w:rsid w:val="00DE6464"/>
    <w:rsid w:val="00DE668F"/>
    <w:rsid w:val="00DE6DDF"/>
    <w:rsid w:val="00DE6FB5"/>
    <w:rsid w:val="00DE6FC6"/>
    <w:rsid w:val="00DE7671"/>
    <w:rsid w:val="00DF038C"/>
    <w:rsid w:val="00DF0C39"/>
    <w:rsid w:val="00DF1B72"/>
    <w:rsid w:val="00DF1C23"/>
    <w:rsid w:val="00DF1F50"/>
    <w:rsid w:val="00DF26D5"/>
    <w:rsid w:val="00DF2C17"/>
    <w:rsid w:val="00DF319F"/>
    <w:rsid w:val="00DF3BBA"/>
    <w:rsid w:val="00DF4243"/>
    <w:rsid w:val="00DF44BA"/>
    <w:rsid w:val="00DF6805"/>
    <w:rsid w:val="00DF6C71"/>
    <w:rsid w:val="00DF79DA"/>
    <w:rsid w:val="00DF7B8B"/>
    <w:rsid w:val="00DF7CE0"/>
    <w:rsid w:val="00DF7F50"/>
    <w:rsid w:val="00E0007A"/>
    <w:rsid w:val="00E0099E"/>
    <w:rsid w:val="00E0214B"/>
    <w:rsid w:val="00E026E5"/>
    <w:rsid w:val="00E02F22"/>
    <w:rsid w:val="00E030CB"/>
    <w:rsid w:val="00E03208"/>
    <w:rsid w:val="00E032D2"/>
    <w:rsid w:val="00E03459"/>
    <w:rsid w:val="00E03741"/>
    <w:rsid w:val="00E03C5A"/>
    <w:rsid w:val="00E04BE8"/>
    <w:rsid w:val="00E06363"/>
    <w:rsid w:val="00E063C0"/>
    <w:rsid w:val="00E069C8"/>
    <w:rsid w:val="00E06AD2"/>
    <w:rsid w:val="00E0702B"/>
    <w:rsid w:val="00E07434"/>
    <w:rsid w:val="00E075B7"/>
    <w:rsid w:val="00E10B4C"/>
    <w:rsid w:val="00E10E22"/>
    <w:rsid w:val="00E1130C"/>
    <w:rsid w:val="00E11A72"/>
    <w:rsid w:val="00E11CF8"/>
    <w:rsid w:val="00E11F98"/>
    <w:rsid w:val="00E1219F"/>
    <w:rsid w:val="00E12C48"/>
    <w:rsid w:val="00E13421"/>
    <w:rsid w:val="00E13526"/>
    <w:rsid w:val="00E14076"/>
    <w:rsid w:val="00E15B91"/>
    <w:rsid w:val="00E163F4"/>
    <w:rsid w:val="00E16A50"/>
    <w:rsid w:val="00E16B4B"/>
    <w:rsid w:val="00E16F30"/>
    <w:rsid w:val="00E17169"/>
    <w:rsid w:val="00E173EC"/>
    <w:rsid w:val="00E177C0"/>
    <w:rsid w:val="00E17ED2"/>
    <w:rsid w:val="00E20476"/>
    <w:rsid w:val="00E20F7D"/>
    <w:rsid w:val="00E20F93"/>
    <w:rsid w:val="00E21A8B"/>
    <w:rsid w:val="00E22395"/>
    <w:rsid w:val="00E23905"/>
    <w:rsid w:val="00E23AD2"/>
    <w:rsid w:val="00E23DF0"/>
    <w:rsid w:val="00E243E6"/>
    <w:rsid w:val="00E24770"/>
    <w:rsid w:val="00E254E0"/>
    <w:rsid w:val="00E25E4C"/>
    <w:rsid w:val="00E26B27"/>
    <w:rsid w:val="00E26FBA"/>
    <w:rsid w:val="00E27E4C"/>
    <w:rsid w:val="00E27EAD"/>
    <w:rsid w:val="00E30358"/>
    <w:rsid w:val="00E30513"/>
    <w:rsid w:val="00E30C29"/>
    <w:rsid w:val="00E30C3E"/>
    <w:rsid w:val="00E31077"/>
    <w:rsid w:val="00E312F5"/>
    <w:rsid w:val="00E31A0C"/>
    <w:rsid w:val="00E31E8F"/>
    <w:rsid w:val="00E32D24"/>
    <w:rsid w:val="00E32F35"/>
    <w:rsid w:val="00E331B8"/>
    <w:rsid w:val="00E337D5"/>
    <w:rsid w:val="00E33823"/>
    <w:rsid w:val="00E34700"/>
    <w:rsid w:val="00E347B1"/>
    <w:rsid w:val="00E3534E"/>
    <w:rsid w:val="00E354FD"/>
    <w:rsid w:val="00E35D5E"/>
    <w:rsid w:val="00E3634E"/>
    <w:rsid w:val="00E36B7D"/>
    <w:rsid w:val="00E37A90"/>
    <w:rsid w:val="00E409DD"/>
    <w:rsid w:val="00E40C16"/>
    <w:rsid w:val="00E4108B"/>
    <w:rsid w:val="00E41A20"/>
    <w:rsid w:val="00E41AED"/>
    <w:rsid w:val="00E41B00"/>
    <w:rsid w:val="00E420F4"/>
    <w:rsid w:val="00E42ACB"/>
    <w:rsid w:val="00E431C8"/>
    <w:rsid w:val="00E43A01"/>
    <w:rsid w:val="00E442D8"/>
    <w:rsid w:val="00E443BB"/>
    <w:rsid w:val="00E44C6D"/>
    <w:rsid w:val="00E44D08"/>
    <w:rsid w:val="00E44DF5"/>
    <w:rsid w:val="00E46C19"/>
    <w:rsid w:val="00E471A1"/>
    <w:rsid w:val="00E47256"/>
    <w:rsid w:val="00E47428"/>
    <w:rsid w:val="00E47DBC"/>
    <w:rsid w:val="00E47E0A"/>
    <w:rsid w:val="00E47EA4"/>
    <w:rsid w:val="00E50005"/>
    <w:rsid w:val="00E50407"/>
    <w:rsid w:val="00E504A8"/>
    <w:rsid w:val="00E50669"/>
    <w:rsid w:val="00E50CEB"/>
    <w:rsid w:val="00E51919"/>
    <w:rsid w:val="00E51B63"/>
    <w:rsid w:val="00E51CD5"/>
    <w:rsid w:val="00E524BD"/>
    <w:rsid w:val="00E5404E"/>
    <w:rsid w:val="00E5412D"/>
    <w:rsid w:val="00E55607"/>
    <w:rsid w:val="00E55A5A"/>
    <w:rsid w:val="00E55F93"/>
    <w:rsid w:val="00E56FFF"/>
    <w:rsid w:val="00E5721E"/>
    <w:rsid w:val="00E5754F"/>
    <w:rsid w:val="00E57A0A"/>
    <w:rsid w:val="00E6037A"/>
    <w:rsid w:val="00E60779"/>
    <w:rsid w:val="00E60D22"/>
    <w:rsid w:val="00E61103"/>
    <w:rsid w:val="00E61D1E"/>
    <w:rsid w:val="00E625E1"/>
    <w:rsid w:val="00E629E8"/>
    <w:rsid w:val="00E62DD8"/>
    <w:rsid w:val="00E62ED0"/>
    <w:rsid w:val="00E63D44"/>
    <w:rsid w:val="00E6439A"/>
    <w:rsid w:val="00E64556"/>
    <w:rsid w:val="00E65009"/>
    <w:rsid w:val="00E65102"/>
    <w:rsid w:val="00E65C2F"/>
    <w:rsid w:val="00E66D5A"/>
    <w:rsid w:val="00E66E9A"/>
    <w:rsid w:val="00E673E8"/>
    <w:rsid w:val="00E6747B"/>
    <w:rsid w:val="00E701BD"/>
    <w:rsid w:val="00E705CC"/>
    <w:rsid w:val="00E70F28"/>
    <w:rsid w:val="00E710E9"/>
    <w:rsid w:val="00E7223E"/>
    <w:rsid w:val="00E72360"/>
    <w:rsid w:val="00E72A52"/>
    <w:rsid w:val="00E73526"/>
    <w:rsid w:val="00E73987"/>
    <w:rsid w:val="00E73994"/>
    <w:rsid w:val="00E74CA2"/>
    <w:rsid w:val="00E750E3"/>
    <w:rsid w:val="00E7539B"/>
    <w:rsid w:val="00E75ADE"/>
    <w:rsid w:val="00E764B2"/>
    <w:rsid w:val="00E7662F"/>
    <w:rsid w:val="00E77A75"/>
    <w:rsid w:val="00E77F20"/>
    <w:rsid w:val="00E80E18"/>
    <w:rsid w:val="00E816E9"/>
    <w:rsid w:val="00E82BB9"/>
    <w:rsid w:val="00E82E15"/>
    <w:rsid w:val="00E83594"/>
    <w:rsid w:val="00E8366A"/>
    <w:rsid w:val="00E83F82"/>
    <w:rsid w:val="00E84B87"/>
    <w:rsid w:val="00E84CD8"/>
    <w:rsid w:val="00E85264"/>
    <w:rsid w:val="00E85293"/>
    <w:rsid w:val="00E86AAE"/>
    <w:rsid w:val="00E87B85"/>
    <w:rsid w:val="00E9075E"/>
    <w:rsid w:val="00E91672"/>
    <w:rsid w:val="00E92099"/>
    <w:rsid w:val="00E92466"/>
    <w:rsid w:val="00E92B3D"/>
    <w:rsid w:val="00E92BEE"/>
    <w:rsid w:val="00E92CFA"/>
    <w:rsid w:val="00E93230"/>
    <w:rsid w:val="00E939E1"/>
    <w:rsid w:val="00E944B6"/>
    <w:rsid w:val="00E95084"/>
    <w:rsid w:val="00E95191"/>
    <w:rsid w:val="00E95498"/>
    <w:rsid w:val="00E95B3F"/>
    <w:rsid w:val="00E975D0"/>
    <w:rsid w:val="00EA07B8"/>
    <w:rsid w:val="00EA0BDE"/>
    <w:rsid w:val="00EA3023"/>
    <w:rsid w:val="00EA3A29"/>
    <w:rsid w:val="00EA3A7A"/>
    <w:rsid w:val="00EA3B9C"/>
    <w:rsid w:val="00EA5615"/>
    <w:rsid w:val="00EA5EB8"/>
    <w:rsid w:val="00EA6017"/>
    <w:rsid w:val="00EA6658"/>
    <w:rsid w:val="00EA77F6"/>
    <w:rsid w:val="00EA7ACF"/>
    <w:rsid w:val="00EA7F1D"/>
    <w:rsid w:val="00EB1153"/>
    <w:rsid w:val="00EB191B"/>
    <w:rsid w:val="00EB1D5C"/>
    <w:rsid w:val="00EB2572"/>
    <w:rsid w:val="00EB3089"/>
    <w:rsid w:val="00EB3435"/>
    <w:rsid w:val="00EB3DBA"/>
    <w:rsid w:val="00EB43D0"/>
    <w:rsid w:val="00EB52DC"/>
    <w:rsid w:val="00EB549A"/>
    <w:rsid w:val="00EB6725"/>
    <w:rsid w:val="00EB6BCB"/>
    <w:rsid w:val="00EB6E88"/>
    <w:rsid w:val="00EB781E"/>
    <w:rsid w:val="00EB78FE"/>
    <w:rsid w:val="00EB7BE8"/>
    <w:rsid w:val="00EB7F16"/>
    <w:rsid w:val="00EC0516"/>
    <w:rsid w:val="00EC093E"/>
    <w:rsid w:val="00EC0E78"/>
    <w:rsid w:val="00EC0F30"/>
    <w:rsid w:val="00EC0F5E"/>
    <w:rsid w:val="00EC0FB8"/>
    <w:rsid w:val="00EC18E7"/>
    <w:rsid w:val="00EC1ADE"/>
    <w:rsid w:val="00EC37D1"/>
    <w:rsid w:val="00EC542A"/>
    <w:rsid w:val="00EC54DE"/>
    <w:rsid w:val="00EC6973"/>
    <w:rsid w:val="00EC7CAD"/>
    <w:rsid w:val="00ED1578"/>
    <w:rsid w:val="00ED175B"/>
    <w:rsid w:val="00ED1982"/>
    <w:rsid w:val="00ED2123"/>
    <w:rsid w:val="00ED229D"/>
    <w:rsid w:val="00ED2453"/>
    <w:rsid w:val="00ED2C2B"/>
    <w:rsid w:val="00ED3717"/>
    <w:rsid w:val="00ED48CF"/>
    <w:rsid w:val="00ED52D5"/>
    <w:rsid w:val="00ED551B"/>
    <w:rsid w:val="00ED5659"/>
    <w:rsid w:val="00ED592F"/>
    <w:rsid w:val="00ED59D0"/>
    <w:rsid w:val="00ED6150"/>
    <w:rsid w:val="00ED7651"/>
    <w:rsid w:val="00ED7836"/>
    <w:rsid w:val="00EE08FA"/>
    <w:rsid w:val="00EE094B"/>
    <w:rsid w:val="00EE0FC5"/>
    <w:rsid w:val="00EE1688"/>
    <w:rsid w:val="00EE246F"/>
    <w:rsid w:val="00EE2D9B"/>
    <w:rsid w:val="00EE3291"/>
    <w:rsid w:val="00EE3CAA"/>
    <w:rsid w:val="00EE4A12"/>
    <w:rsid w:val="00EE5698"/>
    <w:rsid w:val="00EE5B77"/>
    <w:rsid w:val="00EE5F1E"/>
    <w:rsid w:val="00EE6068"/>
    <w:rsid w:val="00EE60DB"/>
    <w:rsid w:val="00EE6281"/>
    <w:rsid w:val="00EE6844"/>
    <w:rsid w:val="00EE6B1D"/>
    <w:rsid w:val="00EE6DCC"/>
    <w:rsid w:val="00EE6EDE"/>
    <w:rsid w:val="00EE71E5"/>
    <w:rsid w:val="00EE73CF"/>
    <w:rsid w:val="00EE7D78"/>
    <w:rsid w:val="00EE7D92"/>
    <w:rsid w:val="00EF2275"/>
    <w:rsid w:val="00EF25FE"/>
    <w:rsid w:val="00EF2B68"/>
    <w:rsid w:val="00EF34B9"/>
    <w:rsid w:val="00EF4140"/>
    <w:rsid w:val="00EF484F"/>
    <w:rsid w:val="00EF586A"/>
    <w:rsid w:val="00EF5AD7"/>
    <w:rsid w:val="00EF6351"/>
    <w:rsid w:val="00F004A1"/>
    <w:rsid w:val="00F006DD"/>
    <w:rsid w:val="00F011D2"/>
    <w:rsid w:val="00F01638"/>
    <w:rsid w:val="00F020C2"/>
    <w:rsid w:val="00F02141"/>
    <w:rsid w:val="00F02565"/>
    <w:rsid w:val="00F0257B"/>
    <w:rsid w:val="00F026E0"/>
    <w:rsid w:val="00F02A7D"/>
    <w:rsid w:val="00F03C21"/>
    <w:rsid w:val="00F03C94"/>
    <w:rsid w:val="00F041FF"/>
    <w:rsid w:val="00F04230"/>
    <w:rsid w:val="00F0439D"/>
    <w:rsid w:val="00F04C13"/>
    <w:rsid w:val="00F04F92"/>
    <w:rsid w:val="00F0532D"/>
    <w:rsid w:val="00F059A6"/>
    <w:rsid w:val="00F05A95"/>
    <w:rsid w:val="00F0703D"/>
    <w:rsid w:val="00F07A90"/>
    <w:rsid w:val="00F07A9D"/>
    <w:rsid w:val="00F07E3B"/>
    <w:rsid w:val="00F10B4F"/>
    <w:rsid w:val="00F1135A"/>
    <w:rsid w:val="00F11C70"/>
    <w:rsid w:val="00F11C86"/>
    <w:rsid w:val="00F11FD7"/>
    <w:rsid w:val="00F12837"/>
    <w:rsid w:val="00F12F5D"/>
    <w:rsid w:val="00F136F2"/>
    <w:rsid w:val="00F13A71"/>
    <w:rsid w:val="00F13F3A"/>
    <w:rsid w:val="00F1579E"/>
    <w:rsid w:val="00F15949"/>
    <w:rsid w:val="00F15DEF"/>
    <w:rsid w:val="00F1636B"/>
    <w:rsid w:val="00F16EE9"/>
    <w:rsid w:val="00F16F86"/>
    <w:rsid w:val="00F200B6"/>
    <w:rsid w:val="00F20193"/>
    <w:rsid w:val="00F202B0"/>
    <w:rsid w:val="00F20473"/>
    <w:rsid w:val="00F2085B"/>
    <w:rsid w:val="00F20A9B"/>
    <w:rsid w:val="00F2133A"/>
    <w:rsid w:val="00F216B2"/>
    <w:rsid w:val="00F21707"/>
    <w:rsid w:val="00F21747"/>
    <w:rsid w:val="00F217C3"/>
    <w:rsid w:val="00F21D83"/>
    <w:rsid w:val="00F22815"/>
    <w:rsid w:val="00F22A7B"/>
    <w:rsid w:val="00F22F46"/>
    <w:rsid w:val="00F236AF"/>
    <w:rsid w:val="00F23ACB"/>
    <w:rsid w:val="00F23CAE"/>
    <w:rsid w:val="00F2433B"/>
    <w:rsid w:val="00F244F2"/>
    <w:rsid w:val="00F2474B"/>
    <w:rsid w:val="00F25361"/>
    <w:rsid w:val="00F257F6"/>
    <w:rsid w:val="00F25938"/>
    <w:rsid w:val="00F25B9D"/>
    <w:rsid w:val="00F25DA4"/>
    <w:rsid w:val="00F26A02"/>
    <w:rsid w:val="00F26DCB"/>
    <w:rsid w:val="00F2756B"/>
    <w:rsid w:val="00F300A0"/>
    <w:rsid w:val="00F30EC6"/>
    <w:rsid w:val="00F30F24"/>
    <w:rsid w:val="00F31080"/>
    <w:rsid w:val="00F326EA"/>
    <w:rsid w:val="00F33074"/>
    <w:rsid w:val="00F33139"/>
    <w:rsid w:val="00F332DC"/>
    <w:rsid w:val="00F334AC"/>
    <w:rsid w:val="00F33C07"/>
    <w:rsid w:val="00F33CC5"/>
    <w:rsid w:val="00F33DD2"/>
    <w:rsid w:val="00F345E8"/>
    <w:rsid w:val="00F34715"/>
    <w:rsid w:val="00F3493B"/>
    <w:rsid w:val="00F356CF"/>
    <w:rsid w:val="00F358EF"/>
    <w:rsid w:val="00F359F8"/>
    <w:rsid w:val="00F35BC7"/>
    <w:rsid w:val="00F35F86"/>
    <w:rsid w:val="00F3686A"/>
    <w:rsid w:val="00F36BD9"/>
    <w:rsid w:val="00F36FCA"/>
    <w:rsid w:val="00F379D7"/>
    <w:rsid w:val="00F405E3"/>
    <w:rsid w:val="00F4157F"/>
    <w:rsid w:val="00F41FF6"/>
    <w:rsid w:val="00F42D39"/>
    <w:rsid w:val="00F42D65"/>
    <w:rsid w:val="00F4405F"/>
    <w:rsid w:val="00F44FBD"/>
    <w:rsid w:val="00F46213"/>
    <w:rsid w:val="00F4632B"/>
    <w:rsid w:val="00F46908"/>
    <w:rsid w:val="00F46995"/>
    <w:rsid w:val="00F46F18"/>
    <w:rsid w:val="00F50591"/>
    <w:rsid w:val="00F5083E"/>
    <w:rsid w:val="00F50CB0"/>
    <w:rsid w:val="00F50CDA"/>
    <w:rsid w:val="00F50E80"/>
    <w:rsid w:val="00F51B2F"/>
    <w:rsid w:val="00F524E9"/>
    <w:rsid w:val="00F52904"/>
    <w:rsid w:val="00F5333A"/>
    <w:rsid w:val="00F53F2C"/>
    <w:rsid w:val="00F54C5B"/>
    <w:rsid w:val="00F54ED7"/>
    <w:rsid w:val="00F56F3C"/>
    <w:rsid w:val="00F5731F"/>
    <w:rsid w:val="00F6037C"/>
    <w:rsid w:val="00F609AE"/>
    <w:rsid w:val="00F60DD3"/>
    <w:rsid w:val="00F62447"/>
    <w:rsid w:val="00F62592"/>
    <w:rsid w:val="00F62768"/>
    <w:rsid w:val="00F63663"/>
    <w:rsid w:val="00F63EDE"/>
    <w:rsid w:val="00F6467F"/>
    <w:rsid w:val="00F66E8B"/>
    <w:rsid w:val="00F67365"/>
    <w:rsid w:val="00F6789B"/>
    <w:rsid w:val="00F67D78"/>
    <w:rsid w:val="00F67EB9"/>
    <w:rsid w:val="00F67F19"/>
    <w:rsid w:val="00F701B7"/>
    <w:rsid w:val="00F701BD"/>
    <w:rsid w:val="00F70620"/>
    <w:rsid w:val="00F70B1D"/>
    <w:rsid w:val="00F70DFE"/>
    <w:rsid w:val="00F7308D"/>
    <w:rsid w:val="00F7328D"/>
    <w:rsid w:val="00F73C08"/>
    <w:rsid w:val="00F74A1A"/>
    <w:rsid w:val="00F74D87"/>
    <w:rsid w:val="00F755FF"/>
    <w:rsid w:val="00F75939"/>
    <w:rsid w:val="00F7634D"/>
    <w:rsid w:val="00F763EA"/>
    <w:rsid w:val="00F766DC"/>
    <w:rsid w:val="00F775CA"/>
    <w:rsid w:val="00F7786F"/>
    <w:rsid w:val="00F77E1C"/>
    <w:rsid w:val="00F802E2"/>
    <w:rsid w:val="00F80A48"/>
    <w:rsid w:val="00F81020"/>
    <w:rsid w:val="00F8126D"/>
    <w:rsid w:val="00F813B2"/>
    <w:rsid w:val="00F81421"/>
    <w:rsid w:val="00F81843"/>
    <w:rsid w:val="00F81F2B"/>
    <w:rsid w:val="00F82C8D"/>
    <w:rsid w:val="00F849D3"/>
    <w:rsid w:val="00F84F63"/>
    <w:rsid w:val="00F8515A"/>
    <w:rsid w:val="00F854EE"/>
    <w:rsid w:val="00F855EC"/>
    <w:rsid w:val="00F85EEB"/>
    <w:rsid w:val="00F86F9B"/>
    <w:rsid w:val="00F873FF"/>
    <w:rsid w:val="00F90AB1"/>
    <w:rsid w:val="00F90BE4"/>
    <w:rsid w:val="00F91CBA"/>
    <w:rsid w:val="00F920B6"/>
    <w:rsid w:val="00F93539"/>
    <w:rsid w:val="00F93B79"/>
    <w:rsid w:val="00F94747"/>
    <w:rsid w:val="00F94F60"/>
    <w:rsid w:val="00F955D9"/>
    <w:rsid w:val="00F96B40"/>
    <w:rsid w:val="00FA0D23"/>
    <w:rsid w:val="00FA0D3E"/>
    <w:rsid w:val="00FA10D2"/>
    <w:rsid w:val="00FA1121"/>
    <w:rsid w:val="00FA16ED"/>
    <w:rsid w:val="00FA17C2"/>
    <w:rsid w:val="00FA1AD9"/>
    <w:rsid w:val="00FA2FE2"/>
    <w:rsid w:val="00FA3626"/>
    <w:rsid w:val="00FA3773"/>
    <w:rsid w:val="00FA3A8A"/>
    <w:rsid w:val="00FA4530"/>
    <w:rsid w:val="00FA485A"/>
    <w:rsid w:val="00FA526F"/>
    <w:rsid w:val="00FA62EF"/>
    <w:rsid w:val="00FA6C3E"/>
    <w:rsid w:val="00FA6CBB"/>
    <w:rsid w:val="00FA73A2"/>
    <w:rsid w:val="00FB0670"/>
    <w:rsid w:val="00FB17F1"/>
    <w:rsid w:val="00FB1879"/>
    <w:rsid w:val="00FB2A1B"/>
    <w:rsid w:val="00FB2B98"/>
    <w:rsid w:val="00FB30BB"/>
    <w:rsid w:val="00FB3824"/>
    <w:rsid w:val="00FB3D7A"/>
    <w:rsid w:val="00FB3F96"/>
    <w:rsid w:val="00FB4027"/>
    <w:rsid w:val="00FB4097"/>
    <w:rsid w:val="00FB4461"/>
    <w:rsid w:val="00FB4663"/>
    <w:rsid w:val="00FB4CD8"/>
    <w:rsid w:val="00FB4D27"/>
    <w:rsid w:val="00FB5413"/>
    <w:rsid w:val="00FB5419"/>
    <w:rsid w:val="00FB54AD"/>
    <w:rsid w:val="00FB5CFF"/>
    <w:rsid w:val="00FB5D72"/>
    <w:rsid w:val="00FB5E9C"/>
    <w:rsid w:val="00FB6B61"/>
    <w:rsid w:val="00FB6B94"/>
    <w:rsid w:val="00FB7142"/>
    <w:rsid w:val="00FB72E4"/>
    <w:rsid w:val="00FB77B3"/>
    <w:rsid w:val="00FB7EAE"/>
    <w:rsid w:val="00FB7F9E"/>
    <w:rsid w:val="00FC09CE"/>
    <w:rsid w:val="00FC0B14"/>
    <w:rsid w:val="00FC0BE3"/>
    <w:rsid w:val="00FC0D83"/>
    <w:rsid w:val="00FC0EC0"/>
    <w:rsid w:val="00FC2684"/>
    <w:rsid w:val="00FC26CE"/>
    <w:rsid w:val="00FC285A"/>
    <w:rsid w:val="00FC2C4D"/>
    <w:rsid w:val="00FC3370"/>
    <w:rsid w:val="00FC3A79"/>
    <w:rsid w:val="00FC428F"/>
    <w:rsid w:val="00FC4DF3"/>
    <w:rsid w:val="00FC520E"/>
    <w:rsid w:val="00FC53F4"/>
    <w:rsid w:val="00FC5404"/>
    <w:rsid w:val="00FC5F27"/>
    <w:rsid w:val="00FC6252"/>
    <w:rsid w:val="00FC6335"/>
    <w:rsid w:val="00FC74E5"/>
    <w:rsid w:val="00FC7568"/>
    <w:rsid w:val="00FC7C38"/>
    <w:rsid w:val="00FC7D7A"/>
    <w:rsid w:val="00FD043F"/>
    <w:rsid w:val="00FD0896"/>
    <w:rsid w:val="00FD0B6E"/>
    <w:rsid w:val="00FD111F"/>
    <w:rsid w:val="00FD1B68"/>
    <w:rsid w:val="00FD24DF"/>
    <w:rsid w:val="00FD2CB4"/>
    <w:rsid w:val="00FD307B"/>
    <w:rsid w:val="00FD3918"/>
    <w:rsid w:val="00FD3D2C"/>
    <w:rsid w:val="00FD4EF1"/>
    <w:rsid w:val="00FD51AF"/>
    <w:rsid w:val="00FD5444"/>
    <w:rsid w:val="00FD54AA"/>
    <w:rsid w:val="00FD5839"/>
    <w:rsid w:val="00FD622D"/>
    <w:rsid w:val="00FD6D02"/>
    <w:rsid w:val="00FD774C"/>
    <w:rsid w:val="00FD7A2C"/>
    <w:rsid w:val="00FD7CD8"/>
    <w:rsid w:val="00FE00A5"/>
    <w:rsid w:val="00FE0B5B"/>
    <w:rsid w:val="00FE1053"/>
    <w:rsid w:val="00FE1343"/>
    <w:rsid w:val="00FE1765"/>
    <w:rsid w:val="00FE2157"/>
    <w:rsid w:val="00FE236D"/>
    <w:rsid w:val="00FE270F"/>
    <w:rsid w:val="00FE3A0C"/>
    <w:rsid w:val="00FE3F13"/>
    <w:rsid w:val="00FE426A"/>
    <w:rsid w:val="00FE43DD"/>
    <w:rsid w:val="00FE5286"/>
    <w:rsid w:val="00FE5992"/>
    <w:rsid w:val="00FE5D4C"/>
    <w:rsid w:val="00FE5FAB"/>
    <w:rsid w:val="00FE6CC2"/>
    <w:rsid w:val="00FE6CF4"/>
    <w:rsid w:val="00FE6EE9"/>
    <w:rsid w:val="00FE70C1"/>
    <w:rsid w:val="00FF0020"/>
    <w:rsid w:val="00FF0CE1"/>
    <w:rsid w:val="00FF175F"/>
    <w:rsid w:val="00FF21F3"/>
    <w:rsid w:val="00FF2534"/>
    <w:rsid w:val="00FF37F8"/>
    <w:rsid w:val="00FF4A90"/>
    <w:rsid w:val="00FF5320"/>
    <w:rsid w:val="00FF58CB"/>
    <w:rsid w:val="00FF5DC5"/>
    <w:rsid w:val="00FF5DCE"/>
    <w:rsid w:val="00FF6534"/>
    <w:rsid w:val="00FF6593"/>
    <w:rsid w:val="00FF6CBB"/>
    <w:rsid w:val="00FF7AAD"/>
    <w:rsid w:val="010C2919"/>
    <w:rsid w:val="011990BA"/>
    <w:rsid w:val="0139E91B"/>
    <w:rsid w:val="014C2A1B"/>
    <w:rsid w:val="014DEECC"/>
    <w:rsid w:val="0192773B"/>
    <w:rsid w:val="0197FF31"/>
    <w:rsid w:val="01A0AF78"/>
    <w:rsid w:val="01BBD4C0"/>
    <w:rsid w:val="01BD5F72"/>
    <w:rsid w:val="01C3D70D"/>
    <w:rsid w:val="01DB44E1"/>
    <w:rsid w:val="01DD6050"/>
    <w:rsid w:val="01EEE561"/>
    <w:rsid w:val="01F8109F"/>
    <w:rsid w:val="02507A7A"/>
    <w:rsid w:val="02A0A676"/>
    <w:rsid w:val="02A456F9"/>
    <w:rsid w:val="02EC92B4"/>
    <w:rsid w:val="0309B60A"/>
    <w:rsid w:val="031B34EA"/>
    <w:rsid w:val="033083D0"/>
    <w:rsid w:val="03905D9B"/>
    <w:rsid w:val="03906BF5"/>
    <w:rsid w:val="0393008E"/>
    <w:rsid w:val="0397E258"/>
    <w:rsid w:val="03B0A4FF"/>
    <w:rsid w:val="03C7124C"/>
    <w:rsid w:val="03E56842"/>
    <w:rsid w:val="03EA424E"/>
    <w:rsid w:val="03EC34BD"/>
    <w:rsid w:val="03FD8E80"/>
    <w:rsid w:val="0424E096"/>
    <w:rsid w:val="04314BB0"/>
    <w:rsid w:val="045A78A9"/>
    <w:rsid w:val="046E0512"/>
    <w:rsid w:val="046E3575"/>
    <w:rsid w:val="048E314E"/>
    <w:rsid w:val="0493BDB2"/>
    <w:rsid w:val="04B349FC"/>
    <w:rsid w:val="04B656F6"/>
    <w:rsid w:val="04BEF5A1"/>
    <w:rsid w:val="04C528AD"/>
    <w:rsid w:val="04CD43BC"/>
    <w:rsid w:val="04EB2960"/>
    <w:rsid w:val="04FF5DE6"/>
    <w:rsid w:val="050D37E2"/>
    <w:rsid w:val="0514B9D5"/>
    <w:rsid w:val="051F05A2"/>
    <w:rsid w:val="053344AD"/>
    <w:rsid w:val="05787846"/>
    <w:rsid w:val="058485EF"/>
    <w:rsid w:val="058F50C9"/>
    <w:rsid w:val="0592EF98"/>
    <w:rsid w:val="0598C175"/>
    <w:rsid w:val="05C5F4DA"/>
    <w:rsid w:val="05C71229"/>
    <w:rsid w:val="05C7D5D4"/>
    <w:rsid w:val="05D39E4D"/>
    <w:rsid w:val="05D7DA52"/>
    <w:rsid w:val="05FADDCA"/>
    <w:rsid w:val="06553CDB"/>
    <w:rsid w:val="065B51BD"/>
    <w:rsid w:val="066375E9"/>
    <w:rsid w:val="066DB093"/>
    <w:rsid w:val="0692EEAB"/>
    <w:rsid w:val="06A45A48"/>
    <w:rsid w:val="06F0E8F9"/>
    <w:rsid w:val="06FFC55F"/>
    <w:rsid w:val="074087B2"/>
    <w:rsid w:val="0741D034"/>
    <w:rsid w:val="074CC93A"/>
    <w:rsid w:val="07672C14"/>
    <w:rsid w:val="077BFD1D"/>
    <w:rsid w:val="07A96BB4"/>
    <w:rsid w:val="07C73319"/>
    <w:rsid w:val="07DAE319"/>
    <w:rsid w:val="07DE3F1C"/>
    <w:rsid w:val="07F1C693"/>
    <w:rsid w:val="08249EC9"/>
    <w:rsid w:val="0833FE8E"/>
    <w:rsid w:val="085A32B2"/>
    <w:rsid w:val="085BB880"/>
    <w:rsid w:val="085BE6DB"/>
    <w:rsid w:val="08673BFF"/>
    <w:rsid w:val="0876EB8A"/>
    <w:rsid w:val="0884C833"/>
    <w:rsid w:val="089A1995"/>
    <w:rsid w:val="08B876E4"/>
    <w:rsid w:val="08C74A73"/>
    <w:rsid w:val="08D42F6B"/>
    <w:rsid w:val="08F9359F"/>
    <w:rsid w:val="08FAA47B"/>
    <w:rsid w:val="08FB26ED"/>
    <w:rsid w:val="091666D2"/>
    <w:rsid w:val="091E1A9B"/>
    <w:rsid w:val="09207E3E"/>
    <w:rsid w:val="093842FF"/>
    <w:rsid w:val="0943E90B"/>
    <w:rsid w:val="096BD102"/>
    <w:rsid w:val="096E48B4"/>
    <w:rsid w:val="099AE4D6"/>
    <w:rsid w:val="09A88340"/>
    <w:rsid w:val="09B6BE1E"/>
    <w:rsid w:val="09E6106B"/>
    <w:rsid w:val="09F5A5AF"/>
    <w:rsid w:val="09FBF937"/>
    <w:rsid w:val="09FE4EAE"/>
    <w:rsid w:val="0A01A049"/>
    <w:rsid w:val="0A084679"/>
    <w:rsid w:val="0A2A63D8"/>
    <w:rsid w:val="0A2AFDD7"/>
    <w:rsid w:val="0A3AA96B"/>
    <w:rsid w:val="0A3BA83B"/>
    <w:rsid w:val="0A54EFC2"/>
    <w:rsid w:val="0A6433DC"/>
    <w:rsid w:val="0A739220"/>
    <w:rsid w:val="0A934080"/>
    <w:rsid w:val="0A93DFBF"/>
    <w:rsid w:val="0AA2F9B8"/>
    <w:rsid w:val="0AA69502"/>
    <w:rsid w:val="0AA997E1"/>
    <w:rsid w:val="0ABCDED2"/>
    <w:rsid w:val="0B03BB1A"/>
    <w:rsid w:val="0B22FD3A"/>
    <w:rsid w:val="0B39E549"/>
    <w:rsid w:val="0B3C1F23"/>
    <w:rsid w:val="0B440D12"/>
    <w:rsid w:val="0B536E7C"/>
    <w:rsid w:val="0B7B6439"/>
    <w:rsid w:val="0BB26D3F"/>
    <w:rsid w:val="0BF66EAC"/>
    <w:rsid w:val="0C253952"/>
    <w:rsid w:val="0C313153"/>
    <w:rsid w:val="0C430172"/>
    <w:rsid w:val="0C600434"/>
    <w:rsid w:val="0C6A4A37"/>
    <w:rsid w:val="0C73DAA3"/>
    <w:rsid w:val="0C84081A"/>
    <w:rsid w:val="0C93ED56"/>
    <w:rsid w:val="0CDC71C7"/>
    <w:rsid w:val="0CDCF65C"/>
    <w:rsid w:val="0CE5C1A4"/>
    <w:rsid w:val="0D1BF48F"/>
    <w:rsid w:val="0D4C7564"/>
    <w:rsid w:val="0D786B88"/>
    <w:rsid w:val="0D7AD38D"/>
    <w:rsid w:val="0D8075BD"/>
    <w:rsid w:val="0D85AE72"/>
    <w:rsid w:val="0D94C2FD"/>
    <w:rsid w:val="0D9AC6E1"/>
    <w:rsid w:val="0DB78B95"/>
    <w:rsid w:val="0DE35887"/>
    <w:rsid w:val="0DE81C48"/>
    <w:rsid w:val="0E00B43A"/>
    <w:rsid w:val="0E1C909C"/>
    <w:rsid w:val="0E3B6D02"/>
    <w:rsid w:val="0E426FDF"/>
    <w:rsid w:val="0E6766E0"/>
    <w:rsid w:val="0E9799B7"/>
    <w:rsid w:val="0EF62990"/>
    <w:rsid w:val="0EFC98BC"/>
    <w:rsid w:val="0F04E763"/>
    <w:rsid w:val="0F0E4FCA"/>
    <w:rsid w:val="0F1D2C65"/>
    <w:rsid w:val="0F1FA704"/>
    <w:rsid w:val="0F2E7681"/>
    <w:rsid w:val="0F448332"/>
    <w:rsid w:val="0F599926"/>
    <w:rsid w:val="0FA0694C"/>
    <w:rsid w:val="0FC7D0DC"/>
    <w:rsid w:val="0FD1509D"/>
    <w:rsid w:val="0FD16190"/>
    <w:rsid w:val="0FD3024E"/>
    <w:rsid w:val="0FDA6A28"/>
    <w:rsid w:val="10241D76"/>
    <w:rsid w:val="1028432B"/>
    <w:rsid w:val="102F0D04"/>
    <w:rsid w:val="10553B37"/>
    <w:rsid w:val="1062C958"/>
    <w:rsid w:val="10672FA7"/>
    <w:rsid w:val="106AB2C4"/>
    <w:rsid w:val="1083AADF"/>
    <w:rsid w:val="1085FBB2"/>
    <w:rsid w:val="108BC011"/>
    <w:rsid w:val="108E2C4A"/>
    <w:rsid w:val="109D6C3B"/>
    <w:rsid w:val="10B54BCC"/>
    <w:rsid w:val="10BB33AA"/>
    <w:rsid w:val="10DEAE4E"/>
    <w:rsid w:val="10E96D1F"/>
    <w:rsid w:val="1122DAE5"/>
    <w:rsid w:val="1123B463"/>
    <w:rsid w:val="112580C2"/>
    <w:rsid w:val="112653A0"/>
    <w:rsid w:val="113B61B1"/>
    <w:rsid w:val="116A9DB7"/>
    <w:rsid w:val="11D064C1"/>
    <w:rsid w:val="11DDD7B7"/>
    <w:rsid w:val="11EB153D"/>
    <w:rsid w:val="12133D1F"/>
    <w:rsid w:val="121F62E6"/>
    <w:rsid w:val="1224F3EE"/>
    <w:rsid w:val="1241992A"/>
    <w:rsid w:val="12456BA9"/>
    <w:rsid w:val="1254A33C"/>
    <w:rsid w:val="125F67CD"/>
    <w:rsid w:val="12B42B59"/>
    <w:rsid w:val="12E738E9"/>
    <w:rsid w:val="12E804CE"/>
    <w:rsid w:val="12EB94BF"/>
    <w:rsid w:val="12F675F4"/>
    <w:rsid w:val="131A6F9F"/>
    <w:rsid w:val="13211B91"/>
    <w:rsid w:val="132A51EC"/>
    <w:rsid w:val="13397BC6"/>
    <w:rsid w:val="134B1B44"/>
    <w:rsid w:val="135446EB"/>
    <w:rsid w:val="1374D8FF"/>
    <w:rsid w:val="1381DA59"/>
    <w:rsid w:val="13838676"/>
    <w:rsid w:val="13938722"/>
    <w:rsid w:val="13E70EB0"/>
    <w:rsid w:val="13EB1CDC"/>
    <w:rsid w:val="13F04AA9"/>
    <w:rsid w:val="1400B1EA"/>
    <w:rsid w:val="14046A6C"/>
    <w:rsid w:val="143B04CD"/>
    <w:rsid w:val="14BD0295"/>
    <w:rsid w:val="14BE9570"/>
    <w:rsid w:val="14C0800C"/>
    <w:rsid w:val="14C191B9"/>
    <w:rsid w:val="14F3380D"/>
    <w:rsid w:val="15263345"/>
    <w:rsid w:val="1537F32E"/>
    <w:rsid w:val="157E7206"/>
    <w:rsid w:val="158755EF"/>
    <w:rsid w:val="158C951D"/>
    <w:rsid w:val="159A7DC6"/>
    <w:rsid w:val="15CE7CCE"/>
    <w:rsid w:val="15E3568C"/>
    <w:rsid w:val="16034B5E"/>
    <w:rsid w:val="16334FBD"/>
    <w:rsid w:val="163D087B"/>
    <w:rsid w:val="1673A9D1"/>
    <w:rsid w:val="16914593"/>
    <w:rsid w:val="1692DE7D"/>
    <w:rsid w:val="16D00FD8"/>
    <w:rsid w:val="16D578DF"/>
    <w:rsid w:val="16D93CDF"/>
    <w:rsid w:val="16F08C57"/>
    <w:rsid w:val="17385F0F"/>
    <w:rsid w:val="174EB12F"/>
    <w:rsid w:val="1767A332"/>
    <w:rsid w:val="1771C97C"/>
    <w:rsid w:val="17BD5B9E"/>
    <w:rsid w:val="17DEBC40"/>
    <w:rsid w:val="17E9E758"/>
    <w:rsid w:val="17FDC882"/>
    <w:rsid w:val="1815A159"/>
    <w:rsid w:val="181B750A"/>
    <w:rsid w:val="1822B977"/>
    <w:rsid w:val="18287C89"/>
    <w:rsid w:val="18319E05"/>
    <w:rsid w:val="184CB7CB"/>
    <w:rsid w:val="18511DFB"/>
    <w:rsid w:val="1860B338"/>
    <w:rsid w:val="18695858"/>
    <w:rsid w:val="18757BD7"/>
    <w:rsid w:val="187AD5F8"/>
    <w:rsid w:val="1895339B"/>
    <w:rsid w:val="189C86D1"/>
    <w:rsid w:val="18A29F54"/>
    <w:rsid w:val="18B2BB90"/>
    <w:rsid w:val="18C22F40"/>
    <w:rsid w:val="18CC4702"/>
    <w:rsid w:val="18CD11D5"/>
    <w:rsid w:val="18D0EB67"/>
    <w:rsid w:val="18D1FEFE"/>
    <w:rsid w:val="18F402E5"/>
    <w:rsid w:val="18FA3CD8"/>
    <w:rsid w:val="190F4B45"/>
    <w:rsid w:val="19122467"/>
    <w:rsid w:val="191B32AA"/>
    <w:rsid w:val="193F1661"/>
    <w:rsid w:val="19527D8B"/>
    <w:rsid w:val="1957E797"/>
    <w:rsid w:val="195BEC74"/>
    <w:rsid w:val="1972A6E6"/>
    <w:rsid w:val="19759C83"/>
    <w:rsid w:val="1994F789"/>
    <w:rsid w:val="19DB184B"/>
    <w:rsid w:val="19DD3C98"/>
    <w:rsid w:val="19E07D52"/>
    <w:rsid w:val="19F33454"/>
    <w:rsid w:val="1A0DF1C9"/>
    <w:rsid w:val="1A1B98CC"/>
    <w:rsid w:val="1A2E2311"/>
    <w:rsid w:val="1A35C79C"/>
    <w:rsid w:val="1A528BAC"/>
    <w:rsid w:val="1A54C6E8"/>
    <w:rsid w:val="1A5B5810"/>
    <w:rsid w:val="1A859862"/>
    <w:rsid w:val="1A89B4EC"/>
    <w:rsid w:val="1A9E3D6D"/>
    <w:rsid w:val="1AC3F6CD"/>
    <w:rsid w:val="1AD67B4B"/>
    <w:rsid w:val="1AD7D789"/>
    <w:rsid w:val="1B015767"/>
    <w:rsid w:val="1B3447B3"/>
    <w:rsid w:val="1B4746F3"/>
    <w:rsid w:val="1B478FB1"/>
    <w:rsid w:val="1B49344E"/>
    <w:rsid w:val="1B6A6A41"/>
    <w:rsid w:val="1B7F92E5"/>
    <w:rsid w:val="1BAE62CC"/>
    <w:rsid w:val="1BF7D3D8"/>
    <w:rsid w:val="1BF8F135"/>
    <w:rsid w:val="1C04BEC3"/>
    <w:rsid w:val="1C3149C6"/>
    <w:rsid w:val="1C74E89F"/>
    <w:rsid w:val="1C7F8DD9"/>
    <w:rsid w:val="1CBF3E82"/>
    <w:rsid w:val="1D0329D5"/>
    <w:rsid w:val="1D382CF7"/>
    <w:rsid w:val="1D3C9FCC"/>
    <w:rsid w:val="1D4E7162"/>
    <w:rsid w:val="1D87A810"/>
    <w:rsid w:val="1DA666E5"/>
    <w:rsid w:val="1DFB25C6"/>
    <w:rsid w:val="1E16027E"/>
    <w:rsid w:val="1E2E2E57"/>
    <w:rsid w:val="1E3D5EBF"/>
    <w:rsid w:val="1E44F4D0"/>
    <w:rsid w:val="1E4CF08E"/>
    <w:rsid w:val="1E5BA772"/>
    <w:rsid w:val="1E6A20E6"/>
    <w:rsid w:val="1E6B58A3"/>
    <w:rsid w:val="1EB80244"/>
    <w:rsid w:val="1EC775CB"/>
    <w:rsid w:val="1ED77CB1"/>
    <w:rsid w:val="1EE1CE1C"/>
    <w:rsid w:val="1EFB8EB5"/>
    <w:rsid w:val="1F26633D"/>
    <w:rsid w:val="1F37242B"/>
    <w:rsid w:val="1F5343AD"/>
    <w:rsid w:val="1F6D556E"/>
    <w:rsid w:val="1F73660F"/>
    <w:rsid w:val="1F973B1A"/>
    <w:rsid w:val="1F984B55"/>
    <w:rsid w:val="1FA664D2"/>
    <w:rsid w:val="1FB28F94"/>
    <w:rsid w:val="1FCC1001"/>
    <w:rsid w:val="1FDC6394"/>
    <w:rsid w:val="1FE0F34A"/>
    <w:rsid w:val="200E1E64"/>
    <w:rsid w:val="2018D3DF"/>
    <w:rsid w:val="20311F38"/>
    <w:rsid w:val="205D6870"/>
    <w:rsid w:val="2063245C"/>
    <w:rsid w:val="206D5F79"/>
    <w:rsid w:val="2087E8DC"/>
    <w:rsid w:val="2088018A"/>
    <w:rsid w:val="209293DA"/>
    <w:rsid w:val="209C327F"/>
    <w:rsid w:val="209EC796"/>
    <w:rsid w:val="20BBEEB5"/>
    <w:rsid w:val="20BC9848"/>
    <w:rsid w:val="20D44CDE"/>
    <w:rsid w:val="20DDFDB5"/>
    <w:rsid w:val="21086C41"/>
    <w:rsid w:val="210CBB80"/>
    <w:rsid w:val="2115A8D5"/>
    <w:rsid w:val="2149F2DD"/>
    <w:rsid w:val="2192514F"/>
    <w:rsid w:val="21D08808"/>
    <w:rsid w:val="220BDA24"/>
    <w:rsid w:val="221B2AB2"/>
    <w:rsid w:val="2227D64A"/>
    <w:rsid w:val="2246B67A"/>
    <w:rsid w:val="22486ECE"/>
    <w:rsid w:val="224DB270"/>
    <w:rsid w:val="2259870E"/>
    <w:rsid w:val="225B1DC2"/>
    <w:rsid w:val="226088FF"/>
    <w:rsid w:val="2271043F"/>
    <w:rsid w:val="228E534E"/>
    <w:rsid w:val="22A644F7"/>
    <w:rsid w:val="22B13BA5"/>
    <w:rsid w:val="22B2269C"/>
    <w:rsid w:val="22BA7CA8"/>
    <w:rsid w:val="22CC8C47"/>
    <w:rsid w:val="231FB736"/>
    <w:rsid w:val="23276460"/>
    <w:rsid w:val="2329C162"/>
    <w:rsid w:val="232FE3E5"/>
    <w:rsid w:val="237FD68F"/>
    <w:rsid w:val="23992FB3"/>
    <w:rsid w:val="23BA10FA"/>
    <w:rsid w:val="23C4DE84"/>
    <w:rsid w:val="23CF36FB"/>
    <w:rsid w:val="240C7542"/>
    <w:rsid w:val="2434FAEA"/>
    <w:rsid w:val="243A5652"/>
    <w:rsid w:val="24446852"/>
    <w:rsid w:val="245926AA"/>
    <w:rsid w:val="245BD02F"/>
    <w:rsid w:val="246AE50F"/>
    <w:rsid w:val="2479569D"/>
    <w:rsid w:val="24A16FBE"/>
    <w:rsid w:val="24BD5457"/>
    <w:rsid w:val="24F8C6C0"/>
    <w:rsid w:val="24FFB70B"/>
    <w:rsid w:val="24FFDC64"/>
    <w:rsid w:val="24FFE234"/>
    <w:rsid w:val="25080414"/>
    <w:rsid w:val="250AE02D"/>
    <w:rsid w:val="250FFEA8"/>
    <w:rsid w:val="252DE4E3"/>
    <w:rsid w:val="254B1706"/>
    <w:rsid w:val="254C63D9"/>
    <w:rsid w:val="25760578"/>
    <w:rsid w:val="25832424"/>
    <w:rsid w:val="2588FE11"/>
    <w:rsid w:val="25BD01DB"/>
    <w:rsid w:val="25BF6D7A"/>
    <w:rsid w:val="25D82936"/>
    <w:rsid w:val="25DFF487"/>
    <w:rsid w:val="25EB7A66"/>
    <w:rsid w:val="25F65C29"/>
    <w:rsid w:val="26167FB8"/>
    <w:rsid w:val="26583F30"/>
    <w:rsid w:val="265982D2"/>
    <w:rsid w:val="267492AB"/>
    <w:rsid w:val="2683F9F7"/>
    <w:rsid w:val="26AAFB2B"/>
    <w:rsid w:val="26ACFF57"/>
    <w:rsid w:val="26EC91F6"/>
    <w:rsid w:val="26F460E2"/>
    <w:rsid w:val="26F5267C"/>
    <w:rsid w:val="27117FED"/>
    <w:rsid w:val="2711CB4A"/>
    <w:rsid w:val="27144A78"/>
    <w:rsid w:val="273C35F5"/>
    <w:rsid w:val="274D1741"/>
    <w:rsid w:val="27586AEA"/>
    <w:rsid w:val="2765D768"/>
    <w:rsid w:val="277C9255"/>
    <w:rsid w:val="2782D210"/>
    <w:rsid w:val="278DF7A5"/>
    <w:rsid w:val="27D4771A"/>
    <w:rsid w:val="27EE4A93"/>
    <w:rsid w:val="27EE792D"/>
    <w:rsid w:val="27F9039E"/>
    <w:rsid w:val="2812C4AD"/>
    <w:rsid w:val="281662A8"/>
    <w:rsid w:val="2823BAE9"/>
    <w:rsid w:val="283AD946"/>
    <w:rsid w:val="28462E64"/>
    <w:rsid w:val="284A2B8A"/>
    <w:rsid w:val="284D2ED3"/>
    <w:rsid w:val="28553286"/>
    <w:rsid w:val="28583BA2"/>
    <w:rsid w:val="287D30A3"/>
    <w:rsid w:val="2892FBD3"/>
    <w:rsid w:val="28A2A04A"/>
    <w:rsid w:val="28AC8A6C"/>
    <w:rsid w:val="28B08116"/>
    <w:rsid w:val="28B08ACA"/>
    <w:rsid w:val="28C72367"/>
    <w:rsid w:val="28EC2D0E"/>
    <w:rsid w:val="28EE97CF"/>
    <w:rsid w:val="28F96D6E"/>
    <w:rsid w:val="291AC8F5"/>
    <w:rsid w:val="292FE539"/>
    <w:rsid w:val="294F318E"/>
    <w:rsid w:val="29590A29"/>
    <w:rsid w:val="29696DDF"/>
    <w:rsid w:val="296AE1AD"/>
    <w:rsid w:val="2979C99F"/>
    <w:rsid w:val="297EE43B"/>
    <w:rsid w:val="298BE6D0"/>
    <w:rsid w:val="29AB0E78"/>
    <w:rsid w:val="29B8D41D"/>
    <w:rsid w:val="29BA0102"/>
    <w:rsid w:val="29C5776E"/>
    <w:rsid w:val="29CA2932"/>
    <w:rsid w:val="29D4435B"/>
    <w:rsid w:val="29FF9C2C"/>
    <w:rsid w:val="2A053113"/>
    <w:rsid w:val="2A0F3882"/>
    <w:rsid w:val="2A116AC6"/>
    <w:rsid w:val="2A2846B7"/>
    <w:rsid w:val="2A2CEA58"/>
    <w:rsid w:val="2A61B2A8"/>
    <w:rsid w:val="2A7C2977"/>
    <w:rsid w:val="2A95814C"/>
    <w:rsid w:val="2A97ABB6"/>
    <w:rsid w:val="2AB0C88E"/>
    <w:rsid w:val="2AB885E6"/>
    <w:rsid w:val="2AC1BCF5"/>
    <w:rsid w:val="2ACC4808"/>
    <w:rsid w:val="2ACF01B1"/>
    <w:rsid w:val="2AD089C1"/>
    <w:rsid w:val="2ADB3DD1"/>
    <w:rsid w:val="2AE2FC81"/>
    <w:rsid w:val="2AFBB676"/>
    <w:rsid w:val="2B023FFA"/>
    <w:rsid w:val="2B244340"/>
    <w:rsid w:val="2B4ABD5E"/>
    <w:rsid w:val="2B4C64E5"/>
    <w:rsid w:val="2B94D019"/>
    <w:rsid w:val="2B99F3FD"/>
    <w:rsid w:val="2BB6AE87"/>
    <w:rsid w:val="2BBBDF42"/>
    <w:rsid w:val="2BD1764E"/>
    <w:rsid w:val="2BD198AF"/>
    <w:rsid w:val="2BDF0D89"/>
    <w:rsid w:val="2BFD621F"/>
    <w:rsid w:val="2C2E2076"/>
    <w:rsid w:val="2C37E2A6"/>
    <w:rsid w:val="2C5AFB19"/>
    <w:rsid w:val="2C62E739"/>
    <w:rsid w:val="2C8094A1"/>
    <w:rsid w:val="2CD764EA"/>
    <w:rsid w:val="2CD7D6A1"/>
    <w:rsid w:val="2CE9DF2C"/>
    <w:rsid w:val="2CFDC15B"/>
    <w:rsid w:val="2D293A50"/>
    <w:rsid w:val="2D3FCCE2"/>
    <w:rsid w:val="2DAAD069"/>
    <w:rsid w:val="2DBD4310"/>
    <w:rsid w:val="2DCAC8D9"/>
    <w:rsid w:val="2DCE57A6"/>
    <w:rsid w:val="2DD2E566"/>
    <w:rsid w:val="2DD6CA41"/>
    <w:rsid w:val="2DD7AF70"/>
    <w:rsid w:val="2DE8BE67"/>
    <w:rsid w:val="2E21187F"/>
    <w:rsid w:val="2E4898EB"/>
    <w:rsid w:val="2E55232B"/>
    <w:rsid w:val="2E6AC049"/>
    <w:rsid w:val="2E913156"/>
    <w:rsid w:val="2E932A50"/>
    <w:rsid w:val="2EEFBC07"/>
    <w:rsid w:val="2F10D23F"/>
    <w:rsid w:val="2F205609"/>
    <w:rsid w:val="2F20CE10"/>
    <w:rsid w:val="2F48D05C"/>
    <w:rsid w:val="2F4BCF60"/>
    <w:rsid w:val="2F4C85D1"/>
    <w:rsid w:val="2F4D3490"/>
    <w:rsid w:val="2FA78A56"/>
    <w:rsid w:val="2FB558E6"/>
    <w:rsid w:val="2FBDF53B"/>
    <w:rsid w:val="2FEC3BDE"/>
    <w:rsid w:val="301A84F9"/>
    <w:rsid w:val="3059BDCE"/>
    <w:rsid w:val="3060DCC6"/>
    <w:rsid w:val="306A31BA"/>
    <w:rsid w:val="3070A1EE"/>
    <w:rsid w:val="307860F5"/>
    <w:rsid w:val="309588C5"/>
    <w:rsid w:val="30B9B4B5"/>
    <w:rsid w:val="30CCECFE"/>
    <w:rsid w:val="30D1B933"/>
    <w:rsid w:val="30E0FD0B"/>
    <w:rsid w:val="30E7C8D9"/>
    <w:rsid w:val="3108680E"/>
    <w:rsid w:val="312A2C91"/>
    <w:rsid w:val="31769CC6"/>
    <w:rsid w:val="31981678"/>
    <w:rsid w:val="31E033AF"/>
    <w:rsid w:val="320B43AB"/>
    <w:rsid w:val="321DAAC8"/>
    <w:rsid w:val="3220AF0B"/>
    <w:rsid w:val="32223F44"/>
    <w:rsid w:val="3231BC52"/>
    <w:rsid w:val="3236EF10"/>
    <w:rsid w:val="324979D9"/>
    <w:rsid w:val="3253FAB8"/>
    <w:rsid w:val="32DA16FC"/>
    <w:rsid w:val="32E0FE8C"/>
    <w:rsid w:val="32EFD4AE"/>
    <w:rsid w:val="3307B6FF"/>
    <w:rsid w:val="3313E402"/>
    <w:rsid w:val="332BA9EA"/>
    <w:rsid w:val="3337B775"/>
    <w:rsid w:val="333829B5"/>
    <w:rsid w:val="3346E043"/>
    <w:rsid w:val="339744A9"/>
    <w:rsid w:val="33AC3778"/>
    <w:rsid w:val="33BD3867"/>
    <w:rsid w:val="33F63B24"/>
    <w:rsid w:val="33FA13F3"/>
    <w:rsid w:val="340854E3"/>
    <w:rsid w:val="34138B7C"/>
    <w:rsid w:val="34287037"/>
    <w:rsid w:val="343882ED"/>
    <w:rsid w:val="34429913"/>
    <w:rsid w:val="3450EE10"/>
    <w:rsid w:val="347A221A"/>
    <w:rsid w:val="349DD611"/>
    <w:rsid w:val="34AF573C"/>
    <w:rsid w:val="34C97817"/>
    <w:rsid w:val="34E5062A"/>
    <w:rsid w:val="355C0925"/>
    <w:rsid w:val="356AB180"/>
    <w:rsid w:val="359927CA"/>
    <w:rsid w:val="35AC502D"/>
    <w:rsid w:val="35E01B0E"/>
    <w:rsid w:val="3604020F"/>
    <w:rsid w:val="360CD4A1"/>
    <w:rsid w:val="360FF46B"/>
    <w:rsid w:val="3696E7FB"/>
    <w:rsid w:val="36A6FA95"/>
    <w:rsid w:val="36B87706"/>
    <w:rsid w:val="36DFC262"/>
    <w:rsid w:val="36EC31E4"/>
    <w:rsid w:val="372EA97E"/>
    <w:rsid w:val="3780ED39"/>
    <w:rsid w:val="3785D928"/>
    <w:rsid w:val="378985AC"/>
    <w:rsid w:val="37A6A72D"/>
    <w:rsid w:val="37A8361A"/>
    <w:rsid w:val="37BF74D1"/>
    <w:rsid w:val="37CA131E"/>
    <w:rsid w:val="37D0D533"/>
    <w:rsid w:val="381377D4"/>
    <w:rsid w:val="3826D4C3"/>
    <w:rsid w:val="38624EE5"/>
    <w:rsid w:val="3870B859"/>
    <w:rsid w:val="38990A37"/>
    <w:rsid w:val="38ADB59D"/>
    <w:rsid w:val="38C1B212"/>
    <w:rsid w:val="38CC76CC"/>
    <w:rsid w:val="38D95920"/>
    <w:rsid w:val="38DB762D"/>
    <w:rsid w:val="38E162BA"/>
    <w:rsid w:val="38EC02B7"/>
    <w:rsid w:val="390357DF"/>
    <w:rsid w:val="39371314"/>
    <w:rsid w:val="39397CD9"/>
    <w:rsid w:val="39708C68"/>
    <w:rsid w:val="397CFE38"/>
    <w:rsid w:val="39848FBC"/>
    <w:rsid w:val="398732BA"/>
    <w:rsid w:val="39A111C5"/>
    <w:rsid w:val="39A86519"/>
    <w:rsid w:val="39C8C472"/>
    <w:rsid w:val="39E250FB"/>
    <w:rsid w:val="3A34DDBF"/>
    <w:rsid w:val="3A3E9262"/>
    <w:rsid w:val="3A4E3E6A"/>
    <w:rsid w:val="3A5566DE"/>
    <w:rsid w:val="3A6187C9"/>
    <w:rsid w:val="3A62DE4D"/>
    <w:rsid w:val="3A687223"/>
    <w:rsid w:val="3A6C419D"/>
    <w:rsid w:val="3ACC17AF"/>
    <w:rsid w:val="3ADD33C3"/>
    <w:rsid w:val="3B0C8FAC"/>
    <w:rsid w:val="3B14D7F1"/>
    <w:rsid w:val="3B262900"/>
    <w:rsid w:val="3B2F53CA"/>
    <w:rsid w:val="3B34EF48"/>
    <w:rsid w:val="3B3C41EB"/>
    <w:rsid w:val="3B8794C2"/>
    <w:rsid w:val="3B981488"/>
    <w:rsid w:val="3B9EFF94"/>
    <w:rsid w:val="3BAC5EC0"/>
    <w:rsid w:val="3BB3B162"/>
    <w:rsid w:val="3BDFDE82"/>
    <w:rsid w:val="3BE9885D"/>
    <w:rsid w:val="3BEAC13E"/>
    <w:rsid w:val="3BEB1B1B"/>
    <w:rsid w:val="3BF7E6C5"/>
    <w:rsid w:val="3BFE4E9B"/>
    <w:rsid w:val="3C117682"/>
    <w:rsid w:val="3C141BAF"/>
    <w:rsid w:val="3C355D1B"/>
    <w:rsid w:val="3C3902FB"/>
    <w:rsid w:val="3C393747"/>
    <w:rsid w:val="3C55D2A0"/>
    <w:rsid w:val="3C619B46"/>
    <w:rsid w:val="3CB57B8B"/>
    <w:rsid w:val="3CB7768F"/>
    <w:rsid w:val="3CC8492A"/>
    <w:rsid w:val="3CD5E05B"/>
    <w:rsid w:val="3CEFC014"/>
    <w:rsid w:val="3D323434"/>
    <w:rsid w:val="3D4B7F10"/>
    <w:rsid w:val="3D5059A1"/>
    <w:rsid w:val="3D64F144"/>
    <w:rsid w:val="3D77F879"/>
    <w:rsid w:val="3D9B2F46"/>
    <w:rsid w:val="3D9B57D2"/>
    <w:rsid w:val="3D9F8F4E"/>
    <w:rsid w:val="3DA1BEFF"/>
    <w:rsid w:val="3DAC579D"/>
    <w:rsid w:val="3DDDB3C5"/>
    <w:rsid w:val="3DE02297"/>
    <w:rsid w:val="3DFDC7D2"/>
    <w:rsid w:val="3E02DDE7"/>
    <w:rsid w:val="3E0DA4DA"/>
    <w:rsid w:val="3E2625AA"/>
    <w:rsid w:val="3E278EF2"/>
    <w:rsid w:val="3E499863"/>
    <w:rsid w:val="3E52EBC0"/>
    <w:rsid w:val="3E7DE7EE"/>
    <w:rsid w:val="3E908A28"/>
    <w:rsid w:val="3E97E551"/>
    <w:rsid w:val="3EA523E6"/>
    <w:rsid w:val="3EC2DA90"/>
    <w:rsid w:val="3ED059D2"/>
    <w:rsid w:val="3EEB405E"/>
    <w:rsid w:val="3EF99350"/>
    <w:rsid w:val="3F09FC97"/>
    <w:rsid w:val="3F0B3343"/>
    <w:rsid w:val="3F0B737E"/>
    <w:rsid w:val="3F23D8F3"/>
    <w:rsid w:val="3F510C9A"/>
    <w:rsid w:val="3F75C81F"/>
    <w:rsid w:val="3F7AA15D"/>
    <w:rsid w:val="3F7EAD74"/>
    <w:rsid w:val="3F96DB59"/>
    <w:rsid w:val="3FA8CB5B"/>
    <w:rsid w:val="3FB53F15"/>
    <w:rsid w:val="3FCDF5C8"/>
    <w:rsid w:val="4013BB45"/>
    <w:rsid w:val="401516A1"/>
    <w:rsid w:val="4027E12D"/>
    <w:rsid w:val="4029C82D"/>
    <w:rsid w:val="403253C1"/>
    <w:rsid w:val="4033AA25"/>
    <w:rsid w:val="4034FFC3"/>
    <w:rsid w:val="404C28EF"/>
    <w:rsid w:val="404DF377"/>
    <w:rsid w:val="406548CF"/>
    <w:rsid w:val="406A424A"/>
    <w:rsid w:val="4070C74F"/>
    <w:rsid w:val="4073BA46"/>
    <w:rsid w:val="407B829A"/>
    <w:rsid w:val="40848FEC"/>
    <w:rsid w:val="40BDE209"/>
    <w:rsid w:val="40FCBAF1"/>
    <w:rsid w:val="4129AA92"/>
    <w:rsid w:val="41641418"/>
    <w:rsid w:val="4175535B"/>
    <w:rsid w:val="41BAD379"/>
    <w:rsid w:val="41DF4ECD"/>
    <w:rsid w:val="41E5BB1D"/>
    <w:rsid w:val="41F837CD"/>
    <w:rsid w:val="41F8FDA2"/>
    <w:rsid w:val="41FAD3B2"/>
    <w:rsid w:val="4221D9CC"/>
    <w:rsid w:val="4246FAE2"/>
    <w:rsid w:val="4252DD48"/>
    <w:rsid w:val="425A60E8"/>
    <w:rsid w:val="425E74C0"/>
    <w:rsid w:val="425E9BE8"/>
    <w:rsid w:val="426A169C"/>
    <w:rsid w:val="42713D51"/>
    <w:rsid w:val="427D14D2"/>
    <w:rsid w:val="428DEDCC"/>
    <w:rsid w:val="42B30D81"/>
    <w:rsid w:val="42B5786B"/>
    <w:rsid w:val="42B5E705"/>
    <w:rsid w:val="42BF4F5C"/>
    <w:rsid w:val="42C6DF32"/>
    <w:rsid w:val="42E41A13"/>
    <w:rsid w:val="42ECBC15"/>
    <w:rsid w:val="4314024D"/>
    <w:rsid w:val="4319F2BB"/>
    <w:rsid w:val="431FD18E"/>
    <w:rsid w:val="432A4257"/>
    <w:rsid w:val="432DEB13"/>
    <w:rsid w:val="43332C3B"/>
    <w:rsid w:val="43353083"/>
    <w:rsid w:val="434A9D01"/>
    <w:rsid w:val="435ADAEA"/>
    <w:rsid w:val="4362DA93"/>
    <w:rsid w:val="436E03F8"/>
    <w:rsid w:val="43BD40D7"/>
    <w:rsid w:val="43CC9840"/>
    <w:rsid w:val="43FB662B"/>
    <w:rsid w:val="44091AEF"/>
    <w:rsid w:val="441053F0"/>
    <w:rsid w:val="44271C13"/>
    <w:rsid w:val="442BC007"/>
    <w:rsid w:val="4447102E"/>
    <w:rsid w:val="44970772"/>
    <w:rsid w:val="449768C7"/>
    <w:rsid w:val="449B3370"/>
    <w:rsid w:val="44AAAFE8"/>
    <w:rsid w:val="44AC01D3"/>
    <w:rsid w:val="44D2A5CB"/>
    <w:rsid w:val="44D93ECE"/>
    <w:rsid w:val="44F33D67"/>
    <w:rsid w:val="44F3E4FD"/>
    <w:rsid w:val="44F9CE1C"/>
    <w:rsid w:val="452092A0"/>
    <w:rsid w:val="453771CC"/>
    <w:rsid w:val="4549CAC4"/>
    <w:rsid w:val="4587B1A7"/>
    <w:rsid w:val="459CC740"/>
    <w:rsid w:val="459CD803"/>
    <w:rsid w:val="45F16939"/>
    <w:rsid w:val="46180700"/>
    <w:rsid w:val="46239629"/>
    <w:rsid w:val="4652EF95"/>
    <w:rsid w:val="4676DA7F"/>
    <w:rsid w:val="4694267C"/>
    <w:rsid w:val="46DB9B82"/>
    <w:rsid w:val="46E15B92"/>
    <w:rsid w:val="46FE3324"/>
    <w:rsid w:val="4710D2F7"/>
    <w:rsid w:val="4724DF3D"/>
    <w:rsid w:val="4757EEEA"/>
    <w:rsid w:val="475A79AA"/>
    <w:rsid w:val="475D6639"/>
    <w:rsid w:val="47765109"/>
    <w:rsid w:val="47834080"/>
    <w:rsid w:val="47869EE7"/>
    <w:rsid w:val="47BCABA3"/>
    <w:rsid w:val="47E85D23"/>
    <w:rsid w:val="47F1C4F5"/>
    <w:rsid w:val="4805C845"/>
    <w:rsid w:val="48081D11"/>
    <w:rsid w:val="4855CB6B"/>
    <w:rsid w:val="485B596F"/>
    <w:rsid w:val="486409A7"/>
    <w:rsid w:val="4866452A"/>
    <w:rsid w:val="48743098"/>
    <w:rsid w:val="48869C8D"/>
    <w:rsid w:val="488A6509"/>
    <w:rsid w:val="489DF2AB"/>
    <w:rsid w:val="48A2FBA2"/>
    <w:rsid w:val="48B76284"/>
    <w:rsid w:val="48BA0E3D"/>
    <w:rsid w:val="48F37AD9"/>
    <w:rsid w:val="491CCA44"/>
    <w:rsid w:val="49273322"/>
    <w:rsid w:val="492A1727"/>
    <w:rsid w:val="4957CA4E"/>
    <w:rsid w:val="495CB666"/>
    <w:rsid w:val="495D8D84"/>
    <w:rsid w:val="4967B35D"/>
    <w:rsid w:val="4978627F"/>
    <w:rsid w:val="4990544A"/>
    <w:rsid w:val="49FA97E6"/>
    <w:rsid w:val="4A202665"/>
    <w:rsid w:val="4A243629"/>
    <w:rsid w:val="4A3C826C"/>
    <w:rsid w:val="4A4ADAC9"/>
    <w:rsid w:val="4A581069"/>
    <w:rsid w:val="4A6215CB"/>
    <w:rsid w:val="4A774431"/>
    <w:rsid w:val="4A951092"/>
    <w:rsid w:val="4AB1D12E"/>
    <w:rsid w:val="4AC59EBB"/>
    <w:rsid w:val="4AED4B33"/>
    <w:rsid w:val="4B0A44FC"/>
    <w:rsid w:val="4B1DFB64"/>
    <w:rsid w:val="4B268307"/>
    <w:rsid w:val="4B4B4F16"/>
    <w:rsid w:val="4B5F6063"/>
    <w:rsid w:val="4B91D26E"/>
    <w:rsid w:val="4B9AF6B3"/>
    <w:rsid w:val="4B9D0DC2"/>
    <w:rsid w:val="4B9EC619"/>
    <w:rsid w:val="4BADAD3B"/>
    <w:rsid w:val="4BC542F3"/>
    <w:rsid w:val="4BF1CDCD"/>
    <w:rsid w:val="4C025858"/>
    <w:rsid w:val="4C12E68D"/>
    <w:rsid w:val="4C38EFF7"/>
    <w:rsid w:val="4C4466AF"/>
    <w:rsid w:val="4C721699"/>
    <w:rsid w:val="4C882F5B"/>
    <w:rsid w:val="4CA0477A"/>
    <w:rsid w:val="4CBFF104"/>
    <w:rsid w:val="4CCE6DA3"/>
    <w:rsid w:val="4CD1E89D"/>
    <w:rsid w:val="4D14378D"/>
    <w:rsid w:val="4D2F726D"/>
    <w:rsid w:val="4D4893AD"/>
    <w:rsid w:val="4D565AED"/>
    <w:rsid w:val="4D7939A0"/>
    <w:rsid w:val="4D79FD56"/>
    <w:rsid w:val="4D7E3A7A"/>
    <w:rsid w:val="4D858ACF"/>
    <w:rsid w:val="4D90F351"/>
    <w:rsid w:val="4DA2B664"/>
    <w:rsid w:val="4DA70804"/>
    <w:rsid w:val="4DECB195"/>
    <w:rsid w:val="4E110F26"/>
    <w:rsid w:val="4E1CA95F"/>
    <w:rsid w:val="4E22979C"/>
    <w:rsid w:val="4E230F81"/>
    <w:rsid w:val="4E5C13C1"/>
    <w:rsid w:val="4E6C7AFC"/>
    <w:rsid w:val="4E7190B8"/>
    <w:rsid w:val="4E92A638"/>
    <w:rsid w:val="4E9FAC98"/>
    <w:rsid w:val="4ECB1B27"/>
    <w:rsid w:val="4EDF37DD"/>
    <w:rsid w:val="4EECACDC"/>
    <w:rsid w:val="4F0C50D9"/>
    <w:rsid w:val="4F3B783A"/>
    <w:rsid w:val="4F4C2200"/>
    <w:rsid w:val="4F5565D9"/>
    <w:rsid w:val="4F69C84A"/>
    <w:rsid w:val="4F85DA7A"/>
    <w:rsid w:val="4F8A0DE8"/>
    <w:rsid w:val="4FA55FB9"/>
    <w:rsid w:val="4FB18453"/>
    <w:rsid w:val="4FB88B9B"/>
    <w:rsid w:val="4FD72F09"/>
    <w:rsid w:val="5006E6E9"/>
    <w:rsid w:val="50114D70"/>
    <w:rsid w:val="501FFA5C"/>
    <w:rsid w:val="502901B2"/>
    <w:rsid w:val="50453B5F"/>
    <w:rsid w:val="504AFE0E"/>
    <w:rsid w:val="5056C258"/>
    <w:rsid w:val="506062CC"/>
    <w:rsid w:val="50954A2D"/>
    <w:rsid w:val="509C2B13"/>
    <w:rsid w:val="50ACB2C0"/>
    <w:rsid w:val="50B137D6"/>
    <w:rsid w:val="50B807B7"/>
    <w:rsid w:val="50E82475"/>
    <w:rsid w:val="5121D8E3"/>
    <w:rsid w:val="513A0810"/>
    <w:rsid w:val="514439AD"/>
    <w:rsid w:val="5145016D"/>
    <w:rsid w:val="5168C07A"/>
    <w:rsid w:val="518ADE33"/>
    <w:rsid w:val="51942F93"/>
    <w:rsid w:val="51A9C4D2"/>
    <w:rsid w:val="51CD20F7"/>
    <w:rsid w:val="51D59C09"/>
    <w:rsid w:val="51D623D7"/>
    <w:rsid w:val="51F11FE0"/>
    <w:rsid w:val="51FAFA27"/>
    <w:rsid w:val="52032057"/>
    <w:rsid w:val="5207A5CF"/>
    <w:rsid w:val="520D81F5"/>
    <w:rsid w:val="52181ADB"/>
    <w:rsid w:val="521E05EE"/>
    <w:rsid w:val="5296F702"/>
    <w:rsid w:val="52A22597"/>
    <w:rsid w:val="52C98C44"/>
    <w:rsid w:val="52D1DB8A"/>
    <w:rsid w:val="52D7B499"/>
    <w:rsid w:val="52EA1043"/>
    <w:rsid w:val="533D5680"/>
    <w:rsid w:val="53421D41"/>
    <w:rsid w:val="5361F5A7"/>
    <w:rsid w:val="5366D2DC"/>
    <w:rsid w:val="536D8BE8"/>
    <w:rsid w:val="53703F32"/>
    <w:rsid w:val="5374A18D"/>
    <w:rsid w:val="5385F7D8"/>
    <w:rsid w:val="53A73F95"/>
    <w:rsid w:val="541142FB"/>
    <w:rsid w:val="5427E534"/>
    <w:rsid w:val="542C33F3"/>
    <w:rsid w:val="54749ECE"/>
    <w:rsid w:val="547EAC7E"/>
    <w:rsid w:val="5482CC30"/>
    <w:rsid w:val="548FE584"/>
    <w:rsid w:val="54AC3639"/>
    <w:rsid w:val="54B16A9E"/>
    <w:rsid w:val="54DA424A"/>
    <w:rsid w:val="54DE3FA0"/>
    <w:rsid w:val="54FA202D"/>
    <w:rsid w:val="550EC22F"/>
    <w:rsid w:val="553091EB"/>
    <w:rsid w:val="55383124"/>
    <w:rsid w:val="554992F4"/>
    <w:rsid w:val="555DCF5A"/>
    <w:rsid w:val="556E272A"/>
    <w:rsid w:val="556F61F4"/>
    <w:rsid w:val="557B4719"/>
    <w:rsid w:val="55941225"/>
    <w:rsid w:val="5599B7F6"/>
    <w:rsid w:val="5599F541"/>
    <w:rsid w:val="559ECC03"/>
    <w:rsid w:val="55D2843A"/>
    <w:rsid w:val="56030DFD"/>
    <w:rsid w:val="561E6A41"/>
    <w:rsid w:val="56278D54"/>
    <w:rsid w:val="562F3F3A"/>
    <w:rsid w:val="56356152"/>
    <w:rsid w:val="563D72E6"/>
    <w:rsid w:val="5655017F"/>
    <w:rsid w:val="565D7927"/>
    <w:rsid w:val="56716E1C"/>
    <w:rsid w:val="56828CD1"/>
    <w:rsid w:val="56C865C5"/>
    <w:rsid w:val="56D51831"/>
    <w:rsid w:val="56D5E276"/>
    <w:rsid w:val="56DE5E91"/>
    <w:rsid w:val="56ED6A67"/>
    <w:rsid w:val="5700F7FF"/>
    <w:rsid w:val="571511C6"/>
    <w:rsid w:val="5724C80A"/>
    <w:rsid w:val="5754644F"/>
    <w:rsid w:val="576B28B5"/>
    <w:rsid w:val="57762353"/>
    <w:rsid w:val="577801F5"/>
    <w:rsid w:val="57A36AF6"/>
    <w:rsid w:val="57AB948F"/>
    <w:rsid w:val="57CE469D"/>
    <w:rsid w:val="57D0E435"/>
    <w:rsid w:val="57D92CE6"/>
    <w:rsid w:val="57E2AA6F"/>
    <w:rsid w:val="57E8B64B"/>
    <w:rsid w:val="57F7DE52"/>
    <w:rsid w:val="580B12E8"/>
    <w:rsid w:val="580FE920"/>
    <w:rsid w:val="5863D3C8"/>
    <w:rsid w:val="58CDF1AC"/>
    <w:rsid w:val="58D87B02"/>
    <w:rsid w:val="58DD47D6"/>
    <w:rsid w:val="58E630D3"/>
    <w:rsid w:val="592AD8A9"/>
    <w:rsid w:val="5933E18F"/>
    <w:rsid w:val="59519DAE"/>
    <w:rsid w:val="59545977"/>
    <w:rsid w:val="597B3815"/>
    <w:rsid w:val="599F201E"/>
    <w:rsid w:val="59DBA06F"/>
    <w:rsid w:val="59E4E214"/>
    <w:rsid w:val="5A2A5720"/>
    <w:rsid w:val="5A327E90"/>
    <w:rsid w:val="5A46C3E1"/>
    <w:rsid w:val="5A608A74"/>
    <w:rsid w:val="5A628C9A"/>
    <w:rsid w:val="5A63A03F"/>
    <w:rsid w:val="5A867867"/>
    <w:rsid w:val="5A97CF44"/>
    <w:rsid w:val="5AAF279E"/>
    <w:rsid w:val="5AC22EB6"/>
    <w:rsid w:val="5AD288E6"/>
    <w:rsid w:val="5AFB839C"/>
    <w:rsid w:val="5B05579C"/>
    <w:rsid w:val="5B0665FF"/>
    <w:rsid w:val="5B0B7620"/>
    <w:rsid w:val="5B0FDEB2"/>
    <w:rsid w:val="5B29B480"/>
    <w:rsid w:val="5B4B7542"/>
    <w:rsid w:val="5B6095B9"/>
    <w:rsid w:val="5B6DDD65"/>
    <w:rsid w:val="5B8C8A58"/>
    <w:rsid w:val="5BC21901"/>
    <w:rsid w:val="5BE52233"/>
    <w:rsid w:val="5C31904F"/>
    <w:rsid w:val="5C36CFB8"/>
    <w:rsid w:val="5C3CEDCA"/>
    <w:rsid w:val="5C3D62FD"/>
    <w:rsid w:val="5C3D80FF"/>
    <w:rsid w:val="5C6DC4CC"/>
    <w:rsid w:val="5C7096C9"/>
    <w:rsid w:val="5C75212E"/>
    <w:rsid w:val="5C8E7A05"/>
    <w:rsid w:val="5CA49533"/>
    <w:rsid w:val="5CCE606D"/>
    <w:rsid w:val="5CD89F02"/>
    <w:rsid w:val="5CF54696"/>
    <w:rsid w:val="5D1D7568"/>
    <w:rsid w:val="5D57E2D7"/>
    <w:rsid w:val="5D947357"/>
    <w:rsid w:val="5DC1F5D6"/>
    <w:rsid w:val="5DE09FC6"/>
    <w:rsid w:val="5DF601F0"/>
    <w:rsid w:val="5E1A1241"/>
    <w:rsid w:val="5E426F56"/>
    <w:rsid w:val="5E564589"/>
    <w:rsid w:val="5E626B29"/>
    <w:rsid w:val="5E7D552B"/>
    <w:rsid w:val="5EA5A44D"/>
    <w:rsid w:val="5EB458D8"/>
    <w:rsid w:val="5EB6C1FF"/>
    <w:rsid w:val="5EC869CF"/>
    <w:rsid w:val="5ECB5D8E"/>
    <w:rsid w:val="5F0C257F"/>
    <w:rsid w:val="5F21F445"/>
    <w:rsid w:val="5F7F95B2"/>
    <w:rsid w:val="5F83F00C"/>
    <w:rsid w:val="5F8454F4"/>
    <w:rsid w:val="5FB925AD"/>
    <w:rsid w:val="5FBFD97A"/>
    <w:rsid w:val="5FDCAEC7"/>
    <w:rsid w:val="600545F6"/>
    <w:rsid w:val="600DF0BC"/>
    <w:rsid w:val="601DBC5E"/>
    <w:rsid w:val="6023F9C3"/>
    <w:rsid w:val="60260A81"/>
    <w:rsid w:val="6058B157"/>
    <w:rsid w:val="60606DF1"/>
    <w:rsid w:val="60971B0B"/>
    <w:rsid w:val="60A5201A"/>
    <w:rsid w:val="60A9A5E6"/>
    <w:rsid w:val="60C31314"/>
    <w:rsid w:val="60CB4BC6"/>
    <w:rsid w:val="60DCC581"/>
    <w:rsid w:val="60F4F2A4"/>
    <w:rsid w:val="60FE3B0D"/>
    <w:rsid w:val="61228EF0"/>
    <w:rsid w:val="61340A06"/>
    <w:rsid w:val="61451A93"/>
    <w:rsid w:val="6151812E"/>
    <w:rsid w:val="6151AC60"/>
    <w:rsid w:val="615D33AE"/>
    <w:rsid w:val="61660968"/>
    <w:rsid w:val="617C3F40"/>
    <w:rsid w:val="617DC6C5"/>
    <w:rsid w:val="61C0A561"/>
    <w:rsid w:val="61E3D2C8"/>
    <w:rsid w:val="6203EB7C"/>
    <w:rsid w:val="620DDF3D"/>
    <w:rsid w:val="621264F1"/>
    <w:rsid w:val="62244896"/>
    <w:rsid w:val="6244F597"/>
    <w:rsid w:val="626D79AE"/>
    <w:rsid w:val="629925F2"/>
    <w:rsid w:val="629B7B75"/>
    <w:rsid w:val="629BA02C"/>
    <w:rsid w:val="62A62D33"/>
    <w:rsid w:val="62BAEE54"/>
    <w:rsid w:val="62C5D940"/>
    <w:rsid w:val="62DE9598"/>
    <w:rsid w:val="62FC5667"/>
    <w:rsid w:val="6300C896"/>
    <w:rsid w:val="6306AFA5"/>
    <w:rsid w:val="630D082A"/>
    <w:rsid w:val="632121F3"/>
    <w:rsid w:val="63228845"/>
    <w:rsid w:val="632CF2C1"/>
    <w:rsid w:val="63462A02"/>
    <w:rsid w:val="634C6706"/>
    <w:rsid w:val="635DF4EA"/>
    <w:rsid w:val="636C1975"/>
    <w:rsid w:val="638EFC7A"/>
    <w:rsid w:val="63BE8B6D"/>
    <w:rsid w:val="63CABB33"/>
    <w:rsid w:val="63DC26B1"/>
    <w:rsid w:val="63E16BC4"/>
    <w:rsid w:val="63EDBA32"/>
    <w:rsid w:val="63F527F1"/>
    <w:rsid w:val="63F72BD3"/>
    <w:rsid w:val="63FF88F9"/>
    <w:rsid w:val="641C34C5"/>
    <w:rsid w:val="64351D65"/>
    <w:rsid w:val="64389D65"/>
    <w:rsid w:val="6443EF00"/>
    <w:rsid w:val="64605981"/>
    <w:rsid w:val="648123CA"/>
    <w:rsid w:val="64844943"/>
    <w:rsid w:val="64A04DBA"/>
    <w:rsid w:val="64A954F4"/>
    <w:rsid w:val="64AB3579"/>
    <w:rsid w:val="64C1DB7E"/>
    <w:rsid w:val="65137102"/>
    <w:rsid w:val="651D8B25"/>
    <w:rsid w:val="652B8E87"/>
    <w:rsid w:val="6567B608"/>
    <w:rsid w:val="657E0AFB"/>
    <w:rsid w:val="65B717FE"/>
    <w:rsid w:val="6619577B"/>
    <w:rsid w:val="6621CAEF"/>
    <w:rsid w:val="663040C1"/>
    <w:rsid w:val="66445982"/>
    <w:rsid w:val="6646C77A"/>
    <w:rsid w:val="665759F9"/>
    <w:rsid w:val="666B281B"/>
    <w:rsid w:val="66757C33"/>
    <w:rsid w:val="668BEB7B"/>
    <w:rsid w:val="66BE3D4B"/>
    <w:rsid w:val="6704DBE1"/>
    <w:rsid w:val="6728CC8D"/>
    <w:rsid w:val="674C0153"/>
    <w:rsid w:val="675B154F"/>
    <w:rsid w:val="677C8EF4"/>
    <w:rsid w:val="67B8BB5B"/>
    <w:rsid w:val="67F26F0F"/>
    <w:rsid w:val="67FCBAF6"/>
    <w:rsid w:val="680BF97C"/>
    <w:rsid w:val="680FA4E4"/>
    <w:rsid w:val="682212B3"/>
    <w:rsid w:val="684C0074"/>
    <w:rsid w:val="68685165"/>
    <w:rsid w:val="68818E90"/>
    <w:rsid w:val="688AB448"/>
    <w:rsid w:val="68ABA59B"/>
    <w:rsid w:val="68BFBD10"/>
    <w:rsid w:val="68CFBA64"/>
    <w:rsid w:val="68E360BD"/>
    <w:rsid w:val="68EA806E"/>
    <w:rsid w:val="691122A0"/>
    <w:rsid w:val="691EA9AD"/>
    <w:rsid w:val="6927AA98"/>
    <w:rsid w:val="694180C6"/>
    <w:rsid w:val="6950B3C5"/>
    <w:rsid w:val="695920E9"/>
    <w:rsid w:val="696D81F9"/>
    <w:rsid w:val="69773F5B"/>
    <w:rsid w:val="6983BCE7"/>
    <w:rsid w:val="6994B501"/>
    <w:rsid w:val="69BF1F1A"/>
    <w:rsid w:val="69CBBEFA"/>
    <w:rsid w:val="69D37B51"/>
    <w:rsid w:val="69E0B261"/>
    <w:rsid w:val="69F50699"/>
    <w:rsid w:val="6A134C87"/>
    <w:rsid w:val="6A27775F"/>
    <w:rsid w:val="6A2FA6C3"/>
    <w:rsid w:val="6A38E2C4"/>
    <w:rsid w:val="6A74B325"/>
    <w:rsid w:val="6A7B5668"/>
    <w:rsid w:val="6A974246"/>
    <w:rsid w:val="6AB75ACE"/>
    <w:rsid w:val="6ACA40B4"/>
    <w:rsid w:val="6AD8B7D7"/>
    <w:rsid w:val="6AE2489C"/>
    <w:rsid w:val="6AF8A6F3"/>
    <w:rsid w:val="6B0B7A47"/>
    <w:rsid w:val="6B184A7C"/>
    <w:rsid w:val="6B4B7384"/>
    <w:rsid w:val="6B69F528"/>
    <w:rsid w:val="6B8C9208"/>
    <w:rsid w:val="6BB8EE8E"/>
    <w:rsid w:val="6BBB057E"/>
    <w:rsid w:val="6BC0DD1C"/>
    <w:rsid w:val="6BF935AA"/>
    <w:rsid w:val="6C128B15"/>
    <w:rsid w:val="6C2C245C"/>
    <w:rsid w:val="6C3812DE"/>
    <w:rsid w:val="6C65CD85"/>
    <w:rsid w:val="6C9A39C7"/>
    <w:rsid w:val="6C9A44F2"/>
    <w:rsid w:val="6C9DF3AA"/>
    <w:rsid w:val="6CB2673B"/>
    <w:rsid w:val="6CBED5F0"/>
    <w:rsid w:val="6CD66BD3"/>
    <w:rsid w:val="6CDE51CD"/>
    <w:rsid w:val="6CE2DC6E"/>
    <w:rsid w:val="6CF07C62"/>
    <w:rsid w:val="6CF4C93A"/>
    <w:rsid w:val="6D10B7FD"/>
    <w:rsid w:val="6D3BAE60"/>
    <w:rsid w:val="6D3C630D"/>
    <w:rsid w:val="6D457B09"/>
    <w:rsid w:val="6D52C040"/>
    <w:rsid w:val="6D55BC85"/>
    <w:rsid w:val="6D8C584D"/>
    <w:rsid w:val="6D8D415E"/>
    <w:rsid w:val="6DA3A180"/>
    <w:rsid w:val="6DBA955F"/>
    <w:rsid w:val="6DBE424D"/>
    <w:rsid w:val="6DC1A09E"/>
    <w:rsid w:val="6DCCF2ED"/>
    <w:rsid w:val="6DDBBF54"/>
    <w:rsid w:val="6E19E25B"/>
    <w:rsid w:val="6E2710E0"/>
    <w:rsid w:val="6E33BC8A"/>
    <w:rsid w:val="6E435874"/>
    <w:rsid w:val="6E5298D7"/>
    <w:rsid w:val="6E590B75"/>
    <w:rsid w:val="6E802124"/>
    <w:rsid w:val="6EBFB762"/>
    <w:rsid w:val="6EC0D51B"/>
    <w:rsid w:val="6EC25C52"/>
    <w:rsid w:val="6EC6581C"/>
    <w:rsid w:val="6ED274F6"/>
    <w:rsid w:val="6EF8D34D"/>
    <w:rsid w:val="6EFD14A1"/>
    <w:rsid w:val="6F01638F"/>
    <w:rsid w:val="6F117C71"/>
    <w:rsid w:val="6F2EE6CE"/>
    <w:rsid w:val="6F4C7063"/>
    <w:rsid w:val="6F4F58A3"/>
    <w:rsid w:val="6F5E98BB"/>
    <w:rsid w:val="6FA78D7B"/>
    <w:rsid w:val="6FAD3888"/>
    <w:rsid w:val="6FB45E13"/>
    <w:rsid w:val="6FC829F3"/>
    <w:rsid w:val="6FCD94F9"/>
    <w:rsid w:val="70091B8E"/>
    <w:rsid w:val="700E5190"/>
    <w:rsid w:val="700FEA96"/>
    <w:rsid w:val="70188C72"/>
    <w:rsid w:val="701DE52D"/>
    <w:rsid w:val="7028A9DB"/>
    <w:rsid w:val="70386B26"/>
    <w:rsid w:val="703AB4F9"/>
    <w:rsid w:val="705D5B61"/>
    <w:rsid w:val="7060FD59"/>
    <w:rsid w:val="70858F76"/>
    <w:rsid w:val="709826D8"/>
    <w:rsid w:val="70BA6850"/>
    <w:rsid w:val="70EA9156"/>
    <w:rsid w:val="711E1577"/>
    <w:rsid w:val="711F05D0"/>
    <w:rsid w:val="71346C2A"/>
    <w:rsid w:val="713894E5"/>
    <w:rsid w:val="713C6053"/>
    <w:rsid w:val="715825DE"/>
    <w:rsid w:val="715A6CA7"/>
    <w:rsid w:val="71613D25"/>
    <w:rsid w:val="71BA5D37"/>
    <w:rsid w:val="71BCFFED"/>
    <w:rsid w:val="71BF4CA7"/>
    <w:rsid w:val="71C2F0F6"/>
    <w:rsid w:val="71CAB9BB"/>
    <w:rsid w:val="71CAD0B7"/>
    <w:rsid w:val="71E7CBA2"/>
    <w:rsid w:val="7205982F"/>
    <w:rsid w:val="7214317F"/>
    <w:rsid w:val="721D58CD"/>
    <w:rsid w:val="722353DE"/>
    <w:rsid w:val="7265365F"/>
    <w:rsid w:val="726B663F"/>
    <w:rsid w:val="728F20F4"/>
    <w:rsid w:val="72BBA9CE"/>
    <w:rsid w:val="72CB961C"/>
    <w:rsid w:val="72FB8B17"/>
    <w:rsid w:val="731CAFA9"/>
    <w:rsid w:val="732F48F3"/>
    <w:rsid w:val="73613FBC"/>
    <w:rsid w:val="73618913"/>
    <w:rsid w:val="73683D90"/>
    <w:rsid w:val="73A44549"/>
    <w:rsid w:val="73B01764"/>
    <w:rsid w:val="73D87836"/>
    <w:rsid w:val="73DD5796"/>
    <w:rsid w:val="73EF3650"/>
    <w:rsid w:val="73F2A585"/>
    <w:rsid w:val="742E8747"/>
    <w:rsid w:val="743141E0"/>
    <w:rsid w:val="745001FD"/>
    <w:rsid w:val="746A9BCC"/>
    <w:rsid w:val="7487491E"/>
    <w:rsid w:val="74B81EE0"/>
    <w:rsid w:val="74C2E885"/>
    <w:rsid w:val="74FA6F1F"/>
    <w:rsid w:val="75083CEF"/>
    <w:rsid w:val="750C6DCF"/>
    <w:rsid w:val="75189278"/>
    <w:rsid w:val="751AF630"/>
    <w:rsid w:val="7524E509"/>
    <w:rsid w:val="752F2D5A"/>
    <w:rsid w:val="75302E9C"/>
    <w:rsid w:val="7535BD7A"/>
    <w:rsid w:val="755D3714"/>
    <w:rsid w:val="756CAC74"/>
    <w:rsid w:val="757BA38F"/>
    <w:rsid w:val="75B4C20E"/>
    <w:rsid w:val="75C3B5E7"/>
    <w:rsid w:val="75CE3247"/>
    <w:rsid w:val="75DF988B"/>
    <w:rsid w:val="75F49C88"/>
    <w:rsid w:val="762A70DB"/>
    <w:rsid w:val="764425BF"/>
    <w:rsid w:val="764E92AD"/>
    <w:rsid w:val="76B236C6"/>
    <w:rsid w:val="76D6FF17"/>
    <w:rsid w:val="771CD159"/>
    <w:rsid w:val="773929C0"/>
    <w:rsid w:val="77A28E31"/>
    <w:rsid w:val="77AE1B9A"/>
    <w:rsid w:val="77B1E919"/>
    <w:rsid w:val="77C83916"/>
    <w:rsid w:val="77CF77AD"/>
    <w:rsid w:val="77EF173D"/>
    <w:rsid w:val="77F76FDC"/>
    <w:rsid w:val="7814DC19"/>
    <w:rsid w:val="7847D872"/>
    <w:rsid w:val="78605AC5"/>
    <w:rsid w:val="788A0CE3"/>
    <w:rsid w:val="788B4ADE"/>
    <w:rsid w:val="789A163F"/>
    <w:rsid w:val="78B3F242"/>
    <w:rsid w:val="78C1DE61"/>
    <w:rsid w:val="78C8E9F7"/>
    <w:rsid w:val="78D317F3"/>
    <w:rsid w:val="79312A3A"/>
    <w:rsid w:val="793DA47E"/>
    <w:rsid w:val="795D4965"/>
    <w:rsid w:val="795ED69F"/>
    <w:rsid w:val="7968227A"/>
    <w:rsid w:val="797D2433"/>
    <w:rsid w:val="797F4D9B"/>
    <w:rsid w:val="7987271C"/>
    <w:rsid w:val="798A95CE"/>
    <w:rsid w:val="79908F00"/>
    <w:rsid w:val="7992D030"/>
    <w:rsid w:val="7994F48F"/>
    <w:rsid w:val="79A1E7AE"/>
    <w:rsid w:val="79BABCBF"/>
    <w:rsid w:val="79BB5D2E"/>
    <w:rsid w:val="79D936F4"/>
    <w:rsid w:val="79FBD832"/>
    <w:rsid w:val="79FDC1A4"/>
    <w:rsid w:val="7A07DB96"/>
    <w:rsid w:val="7A14171F"/>
    <w:rsid w:val="7A3D7DE7"/>
    <w:rsid w:val="7A8C945C"/>
    <w:rsid w:val="7AAC61A1"/>
    <w:rsid w:val="7ACB280D"/>
    <w:rsid w:val="7ACEA938"/>
    <w:rsid w:val="7AD6982C"/>
    <w:rsid w:val="7AE9AC23"/>
    <w:rsid w:val="7AF4AB35"/>
    <w:rsid w:val="7AFB9AB3"/>
    <w:rsid w:val="7B0787AB"/>
    <w:rsid w:val="7B0882D9"/>
    <w:rsid w:val="7B1F9B24"/>
    <w:rsid w:val="7B3425A7"/>
    <w:rsid w:val="7B3A66C7"/>
    <w:rsid w:val="7B47AE12"/>
    <w:rsid w:val="7B526F0F"/>
    <w:rsid w:val="7B5A4536"/>
    <w:rsid w:val="7B80172B"/>
    <w:rsid w:val="7B972CF9"/>
    <w:rsid w:val="7BB69952"/>
    <w:rsid w:val="7BCF5057"/>
    <w:rsid w:val="7BD95C06"/>
    <w:rsid w:val="7BDC8C0B"/>
    <w:rsid w:val="7BE4A044"/>
    <w:rsid w:val="7BF25E7E"/>
    <w:rsid w:val="7C4FF89D"/>
    <w:rsid w:val="7C5CEFDE"/>
    <w:rsid w:val="7C69C9DE"/>
    <w:rsid w:val="7C7910FF"/>
    <w:rsid w:val="7CA7470E"/>
    <w:rsid w:val="7CC89982"/>
    <w:rsid w:val="7CC98637"/>
    <w:rsid w:val="7CDFBCE9"/>
    <w:rsid w:val="7CFDFA21"/>
    <w:rsid w:val="7D15DE04"/>
    <w:rsid w:val="7D1EFD2E"/>
    <w:rsid w:val="7D28886F"/>
    <w:rsid w:val="7D311BE9"/>
    <w:rsid w:val="7D53B620"/>
    <w:rsid w:val="7D5BB2BE"/>
    <w:rsid w:val="7D5EA59D"/>
    <w:rsid w:val="7D6AC20D"/>
    <w:rsid w:val="7D76E9A0"/>
    <w:rsid w:val="7D8C2AFF"/>
    <w:rsid w:val="7D935BA7"/>
    <w:rsid w:val="7DC1E0D2"/>
    <w:rsid w:val="7DCC2108"/>
    <w:rsid w:val="7E0A0B4A"/>
    <w:rsid w:val="7E0D1C72"/>
    <w:rsid w:val="7E0E5A10"/>
    <w:rsid w:val="7E1398AE"/>
    <w:rsid w:val="7E153CFB"/>
    <w:rsid w:val="7E160E12"/>
    <w:rsid w:val="7E26EBED"/>
    <w:rsid w:val="7E2E674D"/>
    <w:rsid w:val="7E31EC70"/>
    <w:rsid w:val="7E388AA7"/>
    <w:rsid w:val="7E396389"/>
    <w:rsid w:val="7E5E3C47"/>
    <w:rsid w:val="7E5ED511"/>
    <w:rsid w:val="7E88D802"/>
    <w:rsid w:val="7EAFB4B0"/>
    <w:rsid w:val="7EB346F0"/>
    <w:rsid w:val="7F4BE0A5"/>
    <w:rsid w:val="7F5D4F61"/>
    <w:rsid w:val="7F6B968F"/>
    <w:rsid w:val="7F6BC9FE"/>
    <w:rsid w:val="7F76EDD5"/>
    <w:rsid w:val="7F923A50"/>
    <w:rsid w:val="7FB352E0"/>
    <w:rsid w:val="7FB9A9F9"/>
    <w:rsid w:val="7FE2E00B"/>
    <w:rsid w:val="7FF82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C195D"/>
  <w15:chartTrackingRefBased/>
  <w15:docId w15:val="{ED3918C9-AD63-49CA-ABC0-5176356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38"/>
    <w:pPr>
      <w:spacing w:after="160" w:line="259" w:lineRule="auto"/>
      <w:jc w:val="both"/>
    </w:pPr>
    <w:rPr>
      <w:rFonts w:ascii="Open Sans" w:hAnsi="Open Sans"/>
      <w:sz w:val="22"/>
      <w:lang w:val="en-GB"/>
    </w:rPr>
  </w:style>
  <w:style w:type="paragraph" w:styleId="Heading1">
    <w:name w:val="heading 1"/>
    <w:basedOn w:val="Normal"/>
    <w:next w:val="Normal"/>
    <w:link w:val="Heading1Char"/>
    <w:uiPriority w:val="9"/>
    <w:qFormat/>
    <w:rsid w:val="002E0D49"/>
    <w:pPr>
      <w:keepNext/>
      <w:keepLines/>
      <w:numPr>
        <w:numId w:val="1"/>
      </w:numPr>
      <w:spacing w:before="160" w:after="120"/>
      <w:jc w:val="left"/>
      <w:outlineLvl w:val="0"/>
    </w:pPr>
    <w:rPr>
      <w:rFonts w:eastAsiaTheme="majorEastAsia" w:cstheme="majorBidi"/>
      <w:b/>
      <w:color w:val="185980"/>
      <w:sz w:val="28"/>
      <w:szCs w:val="32"/>
    </w:rPr>
  </w:style>
  <w:style w:type="paragraph" w:styleId="Heading2">
    <w:name w:val="heading 2"/>
    <w:basedOn w:val="Normal"/>
    <w:next w:val="Normal"/>
    <w:link w:val="Heading2Char"/>
    <w:uiPriority w:val="9"/>
    <w:unhideWhenUsed/>
    <w:qFormat/>
    <w:rsid w:val="002E0D49"/>
    <w:pPr>
      <w:keepNext/>
      <w:keepLines/>
      <w:spacing w:before="120" w:after="120"/>
      <w:jc w:val="left"/>
      <w:outlineLvl w:val="1"/>
    </w:pPr>
    <w:rPr>
      <w:rFonts w:eastAsiaTheme="majorEastAsia" w:cstheme="majorBidi"/>
      <w:b/>
      <w:color w:val="185980"/>
      <w:szCs w:val="26"/>
    </w:rPr>
  </w:style>
  <w:style w:type="paragraph" w:styleId="Heading3">
    <w:name w:val="heading 3"/>
    <w:basedOn w:val="Normal"/>
    <w:next w:val="Normal"/>
    <w:link w:val="Heading3Char"/>
    <w:uiPriority w:val="9"/>
    <w:unhideWhenUsed/>
    <w:qFormat/>
    <w:rsid w:val="003F1C8A"/>
    <w:pPr>
      <w:keepNext/>
      <w:keepLines/>
      <w:numPr>
        <w:ilvl w:val="2"/>
        <w:numId w:val="1"/>
      </w:numPr>
      <w:spacing w:before="40"/>
      <w:outlineLvl w:val="2"/>
    </w:pPr>
    <w:rPr>
      <w:rFonts w:eastAsiaTheme="majorEastAsia" w:cstheme="majorBidi"/>
      <w:color w:val="185980"/>
    </w:rPr>
  </w:style>
  <w:style w:type="paragraph" w:styleId="Heading4">
    <w:name w:val="heading 4"/>
    <w:basedOn w:val="Normal"/>
    <w:next w:val="Normal"/>
    <w:link w:val="Heading4Char"/>
    <w:uiPriority w:val="9"/>
    <w:unhideWhenUsed/>
    <w:qFormat/>
    <w:rsid w:val="003F1C8A"/>
    <w:pPr>
      <w:keepNext/>
      <w:keepLines/>
      <w:numPr>
        <w:ilvl w:val="3"/>
        <w:numId w:val="1"/>
      </w:numPr>
      <w:spacing w:before="40"/>
      <w:outlineLvl w:val="3"/>
    </w:pPr>
    <w:rPr>
      <w:rFonts w:eastAsiaTheme="majorEastAsia" w:cstheme="majorBidi"/>
      <w:i/>
      <w:iCs/>
      <w:color w:val="185980"/>
    </w:rPr>
  </w:style>
  <w:style w:type="paragraph" w:styleId="Heading5">
    <w:name w:val="heading 5"/>
    <w:basedOn w:val="Normal"/>
    <w:next w:val="Normal"/>
    <w:link w:val="Heading5Char"/>
    <w:uiPriority w:val="9"/>
    <w:unhideWhenUsed/>
    <w:qFormat/>
    <w:rsid w:val="00CF148F"/>
    <w:pPr>
      <w:keepNext/>
      <w:keepLines/>
      <w:numPr>
        <w:ilvl w:val="4"/>
        <w:numId w:val="1"/>
      </w:numPr>
      <w:spacing w:before="40"/>
      <w:outlineLvl w:val="4"/>
    </w:pPr>
    <w:rPr>
      <w:rFonts w:asciiTheme="majorHAnsi" w:eastAsiaTheme="majorEastAsia" w:hAnsiTheme="majorHAnsi" w:cstheme="majorBidi"/>
      <w:color w:val="15263E" w:themeColor="accent1" w:themeShade="BF"/>
    </w:rPr>
  </w:style>
  <w:style w:type="paragraph" w:styleId="Heading6">
    <w:name w:val="heading 6"/>
    <w:basedOn w:val="Normal"/>
    <w:next w:val="Normal"/>
    <w:link w:val="Heading6Char"/>
    <w:uiPriority w:val="9"/>
    <w:semiHidden/>
    <w:unhideWhenUsed/>
    <w:qFormat/>
    <w:rsid w:val="00CF148F"/>
    <w:pPr>
      <w:keepNext/>
      <w:keepLines/>
      <w:numPr>
        <w:ilvl w:val="5"/>
        <w:numId w:val="1"/>
      </w:numPr>
      <w:spacing w:before="40"/>
      <w:outlineLvl w:val="5"/>
    </w:pPr>
    <w:rPr>
      <w:rFonts w:asciiTheme="majorHAnsi" w:eastAsiaTheme="majorEastAsia" w:hAnsiTheme="majorHAnsi" w:cstheme="majorBidi"/>
      <w:color w:val="0E1929" w:themeColor="accent1" w:themeShade="7F"/>
    </w:rPr>
  </w:style>
  <w:style w:type="paragraph" w:styleId="Heading7">
    <w:name w:val="heading 7"/>
    <w:basedOn w:val="Normal"/>
    <w:next w:val="Normal"/>
    <w:link w:val="Heading7Char"/>
    <w:uiPriority w:val="9"/>
    <w:semiHidden/>
    <w:unhideWhenUsed/>
    <w:qFormat/>
    <w:rsid w:val="00CF148F"/>
    <w:pPr>
      <w:keepNext/>
      <w:keepLines/>
      <w:numPr>
        <w:ilvl w:val="6"/>
        <w:numId w:val="1"/>
      </w:numPr>
      <w:spacing w:before="40"/>
      <w:outlineLvl w:val="6"/>
    </w:pPr>
    <w:rPr>
      <w:rFonts w:asciiTheme="majorHAnsi" w:eastAsiaTheme="majorEastAsia" w:hAnsiTheme="majorHAnsi" w:cstheme="majorBidi"/>
      <w:i/>
      <w:iCs/>
      <w:color w:val="0E1929" w:themeColor="accent1" w:themeShade="7F"/>
    </w:rPr>
  </w:style>
  <w:style w:type="paragraph" w:styleId="Heading8">
    <w:name w:val="heading 8"/>
    <w:basedOn w:val="Normal"/>
    <w:next w:val="Normal"/>
    <w:link w:val="Heading8Char"/>
    <w:uiPriority w:val="9"/>
    <w:semiHidden/>
    <w:unhideWhenUsed/>
    <w:qFormat/>
    <w:rsid w:val="00CF148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48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D49"/>
    <w:rPr>
      <w:rFonts w:ascii="Open Sans" w:eastAsiaTheme="majorEastAsia" w:hAnsi="Open Sans" w:cstheme="majorBidi"/>
      <w:b/>
      <w:color w:val="185980"/>
      <w:sz w:val="28"/>
      <w:szCs w:val="32"/>
      <w:lang w:val="en-GB"/>
    </w:rPr>
  </w:style>
  <w:style w:type="paragraph" w:styleId="ListParagraph">
    <w:name w:val="List Paragraph"/>
    <w:basedOn w:val="Normal"/>
    <w:uiPriority w:val="34"/>
    <w:qFormat/>
    <w:rsid w:val="00B764DF"/>
    <w:pPr>
      <w:numPr>
        <w:numId w:val="3"/>
      </w:numPr>
    </w:pPr>
  </w:style>
  <w:style w:type="table" w:styleId="TableGrid">
    <w:name w:val="Table Grid"/>
    <w:basedOn w:val="TableNormal"/>
    <w:uiPriority w:val="39"/>
    <w:rsid w:val="00CF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0D49"/>
    <w:rPr>
      <w:rFonts w:ascii="Open Sans" w:eastAsiaTheme="majorEastAsia" w:hAnsi="Open Sans" w:cstheme="majorBidi"/>
      <w:b/>
      <w:color w:val="185980"/>
      <w:sz w:val="22"/>
      <w:szCs w:val="26"/>
      <w:lang w:val="en-GB"/>
    </w:rPr>
  </w:style>
  <w:style w:type="character" w:customStyle="1" w:styleId="Heading3Char">
    <w:name w:val="Heading 3 Char"/>
    <w:basedOn w:val="DefaultParagraphFont"/>
    <w:link w:val="Heading3"/>
    <w:uiPriority w:val="9"/>
    <w:rsid w:val="003F1C8A"/>
    <w:rPr>
      <w:rFonts w:ascii="Open Sans" w:eastAsiaTheme="majorEastAsia" w:hAnsi="Open Sans" w:cstheme="majorBidi"/>
      <w:color w:val="185980"/>
      <w:sz w:val="22"/>
      <w:lang w:val="en-GB"/>
    </w:rPr>
  </w:style>
  <w:style w:type="character" w:customStyle="1" w:styleId="Heading4Char">
    <w:name w:val="Heading 4 Char"/>
    <w:basedOn w:val="DefaultParagraphFont"/>
    <w:link w:val="Heading4"/>
    <w:uiPriority w:val="9"/>
    <w:rsid w:val="003F1C8A"/>
    <w:rPr>
      <w:rFonts w:ascii="Open Sans" w:eastAsiaTheme="majorEastAsia" w:hAnsi="Open Sans" w:cstheme="majorBidi"/>
      <w:i/>
      <w:iCs/>
      <w:color w:val="185980"/>
      <w:sz w:val="22"/>
      <w:lang w:val="en-GB"/>
    </w:rPr>
  </w:style>
  <w:style w:type="character" w:customStyle="1" w:styleId="Heading5Char">
    <w:name w:val="Heading 5 Char"/>
    <w:basedOn w:val="DefaultParagraphFont"/>
    <w:link w:val="Heading5"/>
    <w:uiPriority w:val="9"/>
    <w:rsid w:val="00CF148F"/>
    <w:rPr>
      <w:rFonts w:asciiTheme="majorHAnsi" w:eastAsiaTheme="majorEastAsia" w:hAnsiTheme="majorHAnsi" w:cstheme="majorBidi"/>
      <w:color w:val="15263E" w:themeColor="accent1" w:themeShade="BF"/>
      <w:sz w:val="22"/>
      <w:lang w:val="en-GB"/>
    </w:rPr>
  </w:style>
  <w:style w:type="character" w:customStyle="1" w:styleId="Heading6Char">
    <w:name w:val="Heading 6 Char"/>
    <w:basedOn w:val="DefaultParagraphFont"/>
    <w:link w:val="Heading6"/>
    <w:uiPriority w:val="9"/>
    <w:semiHidden/>
    <w:rsid w:val="00CF148F"/>
    <w:rPr>
      <w:rFonts w:asciiTheme="majorHAnsi" w:eastAsiaTheme="majorEastAsia" w:hAnsiTheme="majorHAnsi" w:cstheme="majorBidi"/>
      <w:color w:val="0E1929" w:themeColor="accent1" w:themeShade="7F"/>
      <w:sz w:val="22"/>
      <w:lang w:val="en-GB"/>
    </w:rPr>
  </w:style>
  <w:style w:type="character" w:customStyle="1" w:styleId="Heading7Char">
    <w:name w:val="Heading 7 Char"/>
    <w:basedOn w:val="DefaultParagraphFont"/>
    <w:link w:val="Heading7"/>
    <w:uiPriority w:val="9"/>
    <w:semiHidden/>
    <w:rsid w:val="00CF148F"/>
    <w:rPr>
      <w:rFonts w:asciiTheme="majorHAnsi" w:eastAsiaTheme="majorEastAsia" w:hAnsiTheme="majorHAnsi" w:cstheme="majorBidi"/>
      <w:i/>
      <w:iCs/>
      <w:color w:val="0E1929" w:themeColor="accent1" w:themeShade="7F"/>
      <w:sz w:val="22"/>
      <w:lang w:val="en-GB"/>
    </w:rPr>
  </w:style>
  <w:style w:type="character" w:customStyle="1" w:styleId="Heading8Char">
    <w:name w:val="Heading 8 Char"/>
    <w:basedOn w:val="DefaultParagraphFont"/>
    <w:link w:val="Heading8"/>
    <w:uiPriority w:val="9"/>
    <w:semiHidden/>
    <w:rsid w:val="00CF148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F148F"/>
    <w:rPr>
      <w:rFonts w:asciiTheme="majorHAnsi" w:eastAsiaTheme="majorEastAsia" w:hAnsiTheme="majorHAnsi" w:cstheme="majorBidi"/>
      <w:i/>
      <w:iCs/>
      <w:color w:val="272727" w:themeColor="text1" w:themeTint="D8"/>
      <w:sz w:val="21"/>
      <w:szCs w:val="21"/>
      <w:lang w:val="en-GB"/>
    </w:rPr>
  </w:style>
  <w:style w:type="numbering" w:customStyle="1" w:styleId="CurrentList1">
    <w:name w:val="Current List1"/>
    <w:uiPriority w:val="99"/>
    <w:rsid w:val="00CF148F"/>
    <w:pPr>
      <w:numPr>
        <w:numId w:val="2"/>
      </w:numPr>
    </w:pPr>
  </w:style>
  <w:style w:type="paragraph" w:customStyle="1" w:styleId="TableHeading">
    <w:name w:val="Table Heading"/>
    <w:basedOn w:val="Normal"/>
    <w:qFormat/>
    <w:rsid w:val="0014750B"/>
    <w:pPr>
      <w:spacing w:after="0"/>
    </w:pPr>
    <w:rPr>
      <w:b/>
      <w:color w:val="FFFFFF" w:themeColor="background1"/>
    </w:rPr>
  </w:style>
  <w:style w:type="paragraph" w:customStyle="1" w:styleId="DecisionHeading">
    <w:name w:val="Decision Heading"/>
    <w:basedOn w:val="Normal"/>
    <w:qFormat/>
    <w:rsid w:val="002E17F0"/>
    <w:pPr>
      <w:spacing w:after="0" w:line="240" w:lineRule="auto"/>
    </w:pPr>
    <w:rPr>
      <w:b/>
      <w:color w:val="185980"/>
    </w:rPr>
  </w:style>
  <w:style w:type="paragraph" w:styleId="Header">
    <w:name w:val="header"/>
    <w:basedOn w:val="Normal"/>
    <w:link w:val="HeaderChar"/>
    <w:uiPriority w:val="99"/>
    <w:unhideWhenUsed/>
    <w:rsid w:val="00BB7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D83"/>
    <w:rPr>
      <w:rFonts w:ascii="Segoe UI" w:hAnsi="Segoe UI"/>
      <w:sz w:val="22"/>
      <w:lang w:val="en-GB"/>
    </w:rPr>
  </w:style>
  <w:style w:type="paragraph" w:styleId="Footer">
    <w:name w:val="footer"/>
    <w:basedOn w:val="Normal"/>
    <w:link w:val="FooterChar"/>
    <w:uiPriority w:val="99"/>
    <w:unhideWhenUsed/>
    <w:rsid w:val="00BB7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D83"/>
    <w:rPr>
      <w:rFonts w:ascii="Segoe UI" w:hAnsi="Segoe UI"/>
      <w:sz w:val="22"/>
      <w:lang w:val="en-GB"/>
    </w:rPr>
  </w:style>
  <w:style w:type="character" w:styleId="PageNumber">
    <w:name w:val="page number"/>
    <w:basedOn w:val="DefaultParagraphFont"/>
    <w:uiPriority w:val="99"/>
    <w:semiHidden/>
    <w:unhideWhenUsed/>
    <w:rsid w:val="00BB7D83"/>
  </w:style>
  <w:style w:type="paragraph" w:customStyle="1" w:styleId="TableofContentsHeading">
    <w:name w:val="Table of Contents Heading"/>
    <w:basedOn w:val="Normal"/>
    <w:qFormat/>
    <w:rsid w:val="00D86EBE"/>
    <w:pPr>
      <w:spacing w:after="0" w:line="240" w:lineRule="auto"/>
    </w:pPr>
    <w:rPr>
      <w:b/>
      <w:color w:val="185980"/>
      <w:sz w:val="36"/>
    </w:rPr>
  </w:style>
  <w:style w:type="character" w:styleId="Hyperlink">
    <w:name w:val="Hyperlink"/>
    <w:basedOn w:val="DefaultParagraphFont"/>
    <w:uiPriority w:val="99"/>
    <w:unhideWhenUsed/>
    <w:rsid w:val="00BB7D83"/>
    <w:rPr>
      <w:color w:val="18587F" w:themeColor="hyperlink"/>
      <w:u w:val="single"/>
    </w:rPr>
  </w:style>
  <w:style w:type="character" w:styleId="SubtleEmphasis">
    <w:name w:val="Subtle Emphasis"/>
    <w:basedOn w:val="DefaultParagraphFont"/>
    <w:uiPriority w:val="19"/>
    <w:qFormat/>
    <w:rsid w:val="002E17F0"/>
    <w:rPr>
      <w:rFonts w:ascii="Open Sans" w:hAnsi="Open Sans"/>
      <w:i/>
      <w:iCs/>
      <w:color w:val="404040" w:themeColor="text1" w:themeTint="BF"/>
    </w:rPr>
  </w:style>
  <w:style w:type="character" w:styleId="Emphasis">
    <w:name w:val="Emphasis"/>
    <w:basedOn w:val="DefaultParagraphFont"/>
    <w:uiPriority w:val="20"/>
    <w:qFormat/>
    <w:rsid w:val="002E17F0"/>
    <w:rPr>
      <w:rFonts w:ascii="Open Sans" w:hAnsi="Open Sans"/>
      <w:i/>
      <w:iCs/>
    </w:rPr>
  </w:style>
  <w:style w:type="paragraph" w:styleId="Subtitle">
    <w:name w:val="Subtitle"/>
    <w:aliases w:val="Subtitle Decision"/>
    <w:basedOn w:val="Normal"/>
    <w:next w:val="Normal"/>
    <w:link w:val="SubtitleChar"/>
    <w:uiPriority w:val="11"/>
    <w:qFormat/>
    <w:rsid w:val="00B90FAA"/>
    <w:pPr>
      <w:numPr>
        <w:ilvl w:val="1"/>
      </w:numPr>
    </w:pPr>
    <w:rPr>
      <w:rFonts w:eastAsiaTheme="minorEastAsia"/>
      <w:color w:val="1C3453"/>
      <w:spacing w:val="15"/>
      <w:sz w:val="48"/>
      <w:szCs w:val="22"/>
    </w:rPr>
  </w:style>
  <w:style w:type="character" w:customStyle="1" w:styleId="SubtitleChar">
    <w:name w:val="Subtitle Char"/>
    <w:aliases w:val="Subtitle Decision Char"/>
    <w:basedOn w:val="DefaultParagraphFont"/>
    <w:link w:val="Subtitle"/>
    <w:uiPriority w:val="11"/>
    <w:rsid w:val="00B90FAA"/>
    <w:rPr>
      <w:rFonts w:ascii="Segoe UI" w:eastAsiaTheme="minorEastAsia" w:hAnsi="Segoe UI"/>
      <w:color w:val="1C3453"/>
      <w:spacing w:val="15"/>
      <w:sz w:val="48"/>
      <w:szCs w:val="22"/>
      <w:lang w:val="en-GB"/>
    </w:rPr>
  </w:style>
  <w:style w:type="paragraph" w:customStyle="1" w:styleId="TableText">
    <w:name w:val="Table Text"/>
    <w:basedOn w:val="Normal"/>
    <w:qFormat/>
    <w:rsid w:val="00A76CC1"/>
    <w:pPr>
      <w:spacing w:after="0" w:line="240" w:lineRule="auto"/>
      <w:jc w:val="left"/>
    </w:pPr>
  </w:style>
  <w:style w:type="paragraph" w:styleId="Title">
    <w:name w:val="Title"/>
    <w:aliases w:val="Cover Page_Title"/>
    <w:basedOn w:val="Normal"/>
    <w:next w:val="Normal"/>
    <w:link w:val="TitleChar"/>
    <w:uiPriority w:val="10"/>
    <w:qFormat/>
    <w:rsid w:val="003F1C8A"/>
    <w:pPr>
      <w:spacing w:after="0" w:line="240" w:lineRule="auto"/>
      <w:contextualSpacing/>
    </w:pPr>
    <w:rPr>
      <w:rFonts w:eastAsiaTheme="majorEastAsia" w:cstheme="majorBidi"/>
      <w:b/>
      <w:color w:val="1C3453"/>
      <w:spacing w:val="-10"/>
      <w:kern w:val="28"/>
      <w:sz w:val="48"/>
      <w:szCs w:val="56"/>
    </w:rPr>
  </w:style>
  <w:style w:type="character" w:customStyle="1" w:styleId="TitleChar">
    <w:name w:val="Title Char"/>
    <w:aliases w:val="Cover Page_Title Char"/>
    <w:basedOn w:val="DefaultParagraphFont"/>
    <w:link w:val="Title"/>
    <w:uiPriority w:val="10"/>
    <w:rsid w:val="003F1C8A"/>
    <w:rPr>
      <w:rFonts w:ascii="Segoe UI" w:eastAsiaTheme="majorEastAsia" w:hAnsi="Segoe UI" w:cstheme="majorBidi"/>
      <w:b/>
      <w:color w:val="1C3453"/>
      <w:spacing w:val="-10"/>
      <w:kern w:val="28"/>
      <w:sz w:val="48"/>
      <w:szCs w:val="56"/>
      <w:lang w:val="en-GB"/>
    </w:rPr>
  </w:style>
  <w:style w:type="paragraph" w:customStyle="1" w:styleId="CoverPageSOFF">
    <w:name w:val="Cover Page_SOFF"/>
    <w:basedOn w:val="Normal"/>
    <w:qFormat/>
    <w:rsid w:val="002E17F0"/>
    <w:pPr>
      <w:numPr>
        <w:ilvl w:val="1"/>
      </w:numPr>
      <w:spacing w:after="0" w:line="240" w:lineRule="auto"/>
      <w:jc w:val="left"/>
    </w:pPr>
    <w:rPr>
      <w:rFonts w:eastAsiaTheme="minorEastAsia" w:cs="Segoe UI"/>
      <w:color w:val="1C3453"/>
      <w:spacing w:val="15"/>
      <w:kern w:val="0"/>
      <w:sz w:val="40"/>
      <w:szCs w:val="22"/>
      <w:lang w:val="en-US"/>
      <w14:ligatures w14:val="none"/>
    </w:rPr>
  </w:style>
  <w:style w:type="paragraph" w:customStyle="1" w:styleId="CoverPageMeeting">
    <w:name w:val="Cover Page_Meeting"/>
    <w:basedOn w:val="CoverPageSOFF"/>
    <w:qFormat/>
    <w:rsid w:val="002E17F0"/>
    <w:rPr>
      <w:b/>
      <w:bCs/>
    </w:rPr>
  </w:style>
  <w:style w:type="paragraph" w:styleId="Caption">
    <w:name w:val="caption"/>
    <w:basedOn w:val="Normal"/>
    <w:next w:val="Normal"/>
    <w:uiPriority w:val="35"/>
    <w:unhideWhenUsed/>
    <w:qFormat/>
    <w:rsid w:val="00F7786F"/>
    <w:rPr>
      <w:iCs/>
      <w:color w:val="000000" w:themeColor="text1"/>
      <w:sz w:val="20"/>
      <w:szCs w:val="18"/>
    </w:rPr>
  </w:style>
  <w:style w:type="numbering" w:customStyle="1" w:styleId="CurrentList2">
    <w:name w:val="Current List2"/>
    <w:uiPriority w:val="99"/>
    <w:rsid w:val="00B764DF"/>
    <w:pPr>
      <w:numPr>
        <w:numId w:val="4"/>
      </w:numPr>
    </w:pPr>
  </w:style>
  <w:style w:type="paragraph" w:styleId="NoSpacing">
    <w:name w:val="No Spacing"/>
    <w:uiPriority w:val="1"/>
    <w:qFormat/>
    <w:rsid w:val="002E17F0"/>
    <w:pPr>
      <w:jc w:val="both"/>
    </w:pPr>
    <w:rPr>
      <w:rFonts w:ascii="Open Sans" w:hAnsi="Open Sans"/>
      <w:sz w:val="22"/>
      <w:lang w:val="en-GB"/>
    </w:rPr>
  </w:style>
  <w:style w:type="paragraph" w:styleId="Quote">
    <w:name w:val="Quote"/>
    <w:basedOn w:val="Normal"/>
    <w:next w:val="Normal"/>
    <w:link w:val="QuoteChar"/>
    <w:uiPriority w:val="29"/>
    <w:qFormat/>
    <w:rsid w:val="002E17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E17F0"/>
    <w:rPr>
      <w:rFonts w:ascii="Open Sans" w:hAnsi="Open Sans"/>
      <w:i/>
      <w:iCs/>
      <w:color w:val="404040" w:themeColor="text1" w:themeTint="BF"/>
      <w:sz w:val="22"/>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Open Sans" w:hAnsi="Open Sans"/>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F6AF6"/>
    <w:rPr>
      <w:color w:val="605E5C"/>
      <w:shd w:val="clear" w:color="auto" w:fill="E1DFDD"/>
    </w:rPr>
  </w:style>
  <w:style w:type="paragraph" w:styleId="FootnoteText">
    <w:name w:val="footnote text"/>
    <w:basedOn w:val="Normal"/>
    <w:link w:val="FootnoteTextChar"/>
    <w:uiPriority w:val="99"/>
    <w:semiHidden/>
    <w:unhideWhenUsed/>
    <w:rsid w:val="001740BC"/>
    <w:pPr>
      <w:spacing w:after="0"/>
    </w:pPr>
    <w:rPr>
      <w:sz w:val="20"/>
      <w:szCs w:val="20"/>
    </w:rPr>
  </w:style>
  <w:style w:type="character" w:customStyle="1" w:styleId="FootnoteTextChar">
    <w:name w:val="Footnote Text Char"/>
    <w:basedOn w:val="DefaultParagraphFont"/>
    <w:link w:val="FootnoteText"/>
    <w:uiPriority w:val="99"/>
    <w:semiHidden/>
    <w:rsid w:val="001740BC"/>
    <w:rPr>
      <w:rFonts w:ascii="Open Sans" w:hAnsi="Open Sans"/>
      <w:sz w:val="20"/>
      <w:szCs w:val="20"/>
      <w:lang w:val="en-GB"/>
    </w:rPr>
  </w:style>
  <w:style w:type="character" w:styleId="FootnoteReference">
    <w:name w:val="footnote reference"/>
    <w:basedOn w:val="DefaultParagraphFont"/>
    <w:uiPriority w:val="99"/>
    <w:unhideWhenUsed/>
    <w:rsid w:val="001740BC"/>
    <w:rPr>
      <w:vertAlign w:val="superscript"/>
    </w:rPr>
  </w:style>
  <w:style w:type="character" w:styleId="FollowedHyperlink">
    <w:name w:val="FollowedHyperlink"/>
    <w:basedOn w:val="DefaultParagraphFont"/>
    <w:uiPriority w:val="99"/>
    <w:semiHidden/>
    <w:unhideWhenUsed/>
    <w:rsid w:val="001740BC"/>
    <w:rPr>
      <w:color w:val="333233" w:themeColor="followedHyperlink"/>
      <w:u w:val="single"/>
    </w:rPr>
  </w:style>
  <w:style w:type="paragraph" w:styleId="CommentSubject">
    <w:name w:val="annotation subject"/>
    <w:basedOn w:val="CommentText"/>
    <w:next w:val="CommentText"/>
    <w:link w:val="CommentSubjectChar"/>
    <w:uiPriority w:val="99"/>
    <w:semiHidden/>
    <w:unhideWhenUsed/>
    <w:rsid w:val="00137807"/>
    <w:rPr>
      <w:b/>
      <w:bCs/>
    </w:rPr>
  </w:style>
  <w:style w:type="character" w:customStyle="1" w:styleId="CommentSubjectChar">
    <w:name w:val="Comment Subject Char"/>
    <w:basedOn w:val="CommentTextChar"/>
    <w:link w:val="CommentSubject"/>
    <w:uiPriority w:val="99"/>
    <w:semiHidden/>
    <w:rsid w:val="00137807"/>
    <w:rPr>
      <w:rFonts w:ascii="Open Sans" w:hAnsi="Open Sans"/>
      <w:b/>
      <w:bCs/>
      <w:sz w:val="20"/>
      <w:szCs w:val="20"/>
      <w:lang w:val="en-GB"/>
    </w:rPr>
  </w:style>
  <w:style w:type="paragraph" w:styleId="Revision">
    <w:name w:val="Revision"/>
    <w:hidden/>
    <w:uiPriority w:val="99"/>
    <w:semiHidden/>
    <w:rsid w:val="006E1858"/>
    <w:rPr>
      <w:rFonts w:ascii="Open Sans" w:hAnsi="Open Sans"/>
      <w:sz w:val="22"/>
      <w:lang w:val="en-GB"/>
    </w:rPr>
  </w:style>
  <w:style w:type="paragraph" w:styleId="TOC1">
    <w:name w:val="toc 1"/>
    <w:basedOn w:val="Normal"/>
    <w:next w:val="Normal"/>
    <w:autoRedefine/>
    <w:uiPriority w:val="39"/>
    <w:unhideWhenUsed/>
    <w:rsid w:val="00E7223E"/>
    <w:pPr>
      <w:spacing w:after="100"/>
    </w:pPr>
  </w:style>
  <w:style w:type="paragraph" w:styleId="TOC2">
    <w:name w:val="toc 2"/>
    <w:basedOn w:val="Normal"/>
    <w:next w:val="Normal"/>
    <w:autoRedefine/>
    <w:uiPriority w:val="39"/>
    <w:unhideWhenUsed/>
    <w:rsid w:val="00E7223E"/>
    <w:pPr>
      <w:spacing w:after="100"/>
      <w:ind w:left="220"/>
    </w:pPr>
  </w:style>
  <w:style w:type="paragraph" w:styleId="TOCHeading">
    <w:name w:val="TOC Heading"/>
    <w:basedOn w:val="Heading1"/>
    <w:next w:val="Normal"/>
    <w:uiPriority w:val="39"/>
    <w:unhideWhenUsed/>
    <w:qFormat/>
    <w:rsid w:val="00567C43"/>
    <w:pPr>
      <w:numPr>
        <w:numId w:val="0"/>
      </w:numPr>
      <w:spacing w:before="240" w:after="0"/>
      <w:outlineLvl w:val="9"/>
    </w:pPr>
    <w:rPr>
      <w:rFonts w:asciiTheme="majorHAnsi" w:hAnsiTheme="majorHAnsi"/>
      <w:b w:val="0"/>
      <w:color w:val="15263E" w:themeColor="accent1" w:themeShade="BF"/>
      <w:kern w:val="0"/>
      <w:sz w:val="32"/>
      <w:lang w:val="en-US"/>
      <w14:ligatures w14:val="none"/>
    </w:rPr>
  </w:style>
  <w:style w:type="character" w:styleId="Mention">
    <w:name w:val="Mention"/>
    <w:basedOn w:val="DefaultParagraphFont"/>
    <w:uiPriority w:val="99"/>
    <w:unhideWhenUsed/>
    <w:rsid w:val="00ED59D0"/>
    <w:rPr>
      <w:color w:val="2B579A"/>
      <w:shd w:val="clear" w:color="auto" w:fill="E1DFDD"/>
    </w:rPr>
  </w:style>
  <w:style w:type="character" w:customStyle="1" w:styleId="normaltextrun">
    <w:name w:val="normaltextrun"/>
    <w:basedOn w:val="DefaultParagraphFont"/>
    <w:rsid w:val="001C5BBE"/>
  </w:style>
  <w:style w:type="character" w:customStyle="1" w:styleId="eop">
    <w:name w:val="eop"/>
    <w:basedOn w:val="DefaultParagraphFont"/>
    <w:rsid w:val="001C5BBE"/>
  </w:style>
  <w:style w:type="paragraph" w:customStyle="1" w:styleId="paragraph">
    <w:name w:val="paragraph"/>
    <w:basedOn w:val="Normal"/>
    <w:rsid w:val="001C5BBE"/>
    <w:pPr>
      <w:spacing w:before="100" w:beforeAutospacing="1" w:after="100" w:afterAutospacing="1" w:line="240" w:lineRule="auto"/>
      <w:jc w:val="left"/>
    </w:pPr>
    <w:rPr>
      <w:rFonts w:ascii="Times New Roman" w:eastAsia="Times New Roman" w:hAnsi="Times New Roman" w:cs="Times New Roman"/>
      <w:kern w:val="0"/>
      <w:sz w:val="24"/>
      <w:lang w:val="en-US" w:eastAsia="zh-CN"/>
      <w14:ligatures w14:val="none"/>
    </w:rPr>
  </w:style>
  <w:style w:type="paragraph" w:customStyle="1" w:styleId="xmsonormal">
    <w:name w:val="x_msonormal"/>
    <w:basedOn w:val="Normal"/>
    <w:rsid w:val="00690701"/>
    <w:pPr>
      <w:spacing w:before="100" w:beforeAutospacing="1" w:after="100" w:afterAutospacing="1" w:line="240" w:lineRule="auto"/>
      <w:jc w:val="left"/>
    </w:pPr>
    <w:rPr>
      <w:rFonts w:ascii="Times New Roman" w:eastAsia="Times New Roman" w:hAnsi="Times New Roman" w:cs="Times New Roman"/>
      <w:kern w:val="0"/>
      <w:sz w:val="24"/>
      <w14:ligatures w14:val="none"/>
    </w:rPr>
  </w:style>
  <w:style w:type="paragraph" w:styleId="EndnoteText">
    <w:name w:val="endnote text"/>
    <w:basedOn w:val="Normal"/>
    <w:link w:val="EndnoteTextChar"/>
    <w:uiPriority w:val="99"/>
    <w:semiHidden/>
    <w:unhideWhenUsed/>
    <w:rsid w:val="006907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0701"/>
    <w:rPr>
      <w:rFonts w:ascii="Open Sans" w:hAnsi="Open Sans"/>
      <w:sz w:val="20"/>
      <w:szCs w:val="20"/>
      <w:lang w:val="en-GB"/>
    </w:rPr>
  </w:style>
  <w:style w:type="character" w:styleId="EndnoteReference">
    <w:name w:val="endnote reference"/>
    <w:basedOn w:val="DefaultParagraphFont"/>
    <w:uiPriority w:val="99"/>
    <w:semiHidden/>
    <w:unhideWhenUsed/>
    <w:rsid w:val="00690701"/>
    <w:rPr>
      <w:vertAlign w:val="superscript"/>
    </w:rPr>
  </w:style>
  <w:style w:type="paragraph" w:customStyle="1" w:styleId="Default">
    <w:name w:val="Default"/>
    <w:rsid w:val="00690701"/>
    <w:pPr>
      <w:autoSpaceDE w:val="0"/>
      <w:autoSpaceDN w:val="0"/>
      <w:adjustRightInd w:val="0"/>
    </w:pPr>
    <w:rPr>
      <w:rFonts w:ascii="Open Sans" w:hAnsi="Open Sans" w:cs="Open Sans"/>
      <w:color w:val="000000"/>
      <w:kern w:val="0"/>
    </w:rPr>
  </w:style>
  <w:style w:type="paragraph" w:styleId="NormalWeb">
    <w:name w:val="Normal (Web)"/>
    <w:basedOn w:val="Normal"/>
    <w:uiPriority w:val="99"/>
    <w:unhideWhenUsed/>
    <w:rsid w:val="00690701"/>
    <w:pPr>
      <w:spacing w:before="100" w:beforeAutospacing="1" w:after="100" w:afterAutospacing="1" w:line="240" w:lineRule="auto"/>
      <w:jc w:val="left"/>
    </w:pPr>
    <w:rPr>
      <w:rFonts w:ascii="Times New Roman" w:eastAsia="Times New Roman" w:hAnsi="Times New Roman" w:cs="Times New Roman"/>
      <w:kern w:val="0"/>
      <w:sz w:val="24"/>
      <w:lang w:val="en-US"/>
      <w14:ligatures w14:val="none"/>
    </w:rPr>
  </w:style>
  <w:style w:type="character" w:styleId="Strong">
    <w:name w:val="Strong"/>
    <w:basedOn w:val="DefaultParagraphFont"/>
    <w:uiPriority w:val="22"/>
    <w:qFormat/>
    <w:rsid w:val="00690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7588">
      <w:bodyDiv w:val="1"/>
      <w:marLeft w:val="0"/>
      <w:marRight w:val="0"/>
      <w:marTop w:val="0"/>
      <w:marBottom w:val="0"/>
      <w:divBdr>
        <w:top w:val="none" w:sz="0" w:space="0" w:color="auto"/>
        <w:left w:val="none" w:sz="0" w:space="0" w:color="auto"/>
        <w:bottom w:val="none" w:sz="0" w:space="0" w:color="auto"/>
        <w:right w:val="none" w:sz="0" w:space="0" w:color="auto"/>
      </w:divBdr>
      <w:divsChild>
        <w:div w:id="382800514">
          <w:marLeft w:val="0"/>
          <w:marRight w:val="0"/>
          <w:marTop w:val="0"/>
          <w:marBottom w:val="0"/>
          <w:divBdr>
            <w:top w:val="none" w:sz="0" w:space="0" w:color="auto"/>
            <w:left w:val="none" w:sz="0" w:space="0" w:color="auto"/>
            <w:bottom w:val="none" w:sz="0" w:space="0" w:color="auto"/>
            <w:right w:val="none" w:sz="0" w:space="0" w:color="auto"/>
          </w:divBdr>
        </w:div>
      </w:divsChild>
    </w:div>
    <w:div w:id="128281020">
      <w:bodyDiv w:val="1"/>
      <w:marLeft w:val="0"/>
      <w:marRight w:val="0"/>
      <w:marTop w:val="0"/>
      <w:marBottom w:val="0"/>
      <w:divBdr>
        <w:top w:val="none" w:sz="0" w:space="0" w:color="auto"/>
        <w:left w:val="none" w:sz="0" w:space="0" w:color="auto"/>
        <w:bottom w:val="none" w:sz="0" w:space="0" w:color="auto"/>
        <w:right w:val="none" w:sz="0" w:space="0" w:color="auto"/>
      </w:divBdr>
      <w:divsChild>
        <w:div w:id="1464350831">
          <w:marLeft w:val="0"/>
          <w:marRight w:val="0"/>
          <w:marTop w:val="0"/>
          <w:marBottom w:val="0"/>
          <w:divBdr>
            <w:top w:val="none" w:sz="0" w:space="0" w:color="auto"/>
            <w:left w:val="none" w:sz="0" w:space="0" w:color="auto"/>
            <w:bottom w:val="none" w:sz="0" w:space="0" w:color="auto"/>
            <w:right w:val="none" w:sz="0" w:space="0" w:color="auto"/>
          </w:divBdr>
        </w:div>
      </w:divsChild>
    </w:div>
    <w:div w:id="161315086">
      <w:bodyDiv w:val="1"/>
      <w:marLeft w:val="0"/>
      <w:marRight w:val="0"/>
      <w:marTop w:val="0"/>
      <w:marBottom w:val="0"/>
      <w:divBdr>
        <w:top w:val="none" w:sz="0" w:space="0" w:color="auto"/>
        <w:left w:val="none" w:sz="0" w:space="0" w:color="auto"/>
        <w:bottom w:val="none" w:sz="0" w:space="0" w:color="auto"/>
        <w:right w:val="none" w:sz="0" w:space="0" w:color="auto"/>
      </w:divBdr>
    </w:div>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87067402">
      <w:bodyDiv w:val="1"/>
      <w:marLeft w:val="0"/>
      <w:marRight w:val="0"/>
      <w:marTop w:val="0"/>
      <w:marBottom w:val="0"/>
      <w:divBdr>
        <w:top w:val="none" w:sz="0" w:space="0" w:color="auto"/>
        <w:left w:val="none" w:sz="0" w:space="0" w:color="auto"/>
        <w:bottom w:val="none" w:sz="0" w:space="0" w:color="auto"/>
        <w:right w:val="none" w:sz="0" w:space="0" w:color="auto"/>
      </w:divBdr>
    </w:div>
    <w:div w:id="308561497">
      <w:bodyDiv w:val="1"/>
      <w:marLeft w:val="0"/>
      <w:marRight w:val="0"/>
      <w:marTop w:val="0"/>
      <w:marBottom w:val="0"/>
      <w:divBdr>
        <w:top w:val="none" w:sz="0" w:space="0" w:color="auto"/>
        <w:left w:val="none" w:sz="0" w:space="0" w:color="auto"/>
        <w:bottom w:val="none" w:sz="0" w:space="0" w:color="auto"/>
        <w:right w:val="none" w:sz="0" w:space="0" w:color="auto"/>
      </w:divBdr>
    </w:div>
    <w:div w:id="393428858">
      <w:bodyDiv w:val="1"/>
      <w:marLeft w:val="0"/>
      <w:marRight w:val="0"/>
      <w:marTop w:val="0"/>
      <w:marBottom w:val="0"/>
      <w:divBdr>
        <w:top w:val="none" w:sz="0" w:space="0" w:color="auto"/>
        <w:left w:val="none" w:sz="0" w:space="0" w:color="auto"/>
        <w:bottom w:val="none" w:sz="0" w:space="0" w:color="auto"/>
        <w:right w:val="none" w:sz="0" w:space="0" w:color="auto"/>
      </w:divBdr>
    </w:div>
    <w:div w:id="407771434">
      <w:bodyDiv w:val="1"/>
      <w:marLeft w:val="0"/>
      <w:marRight w:val="0"/>
      <w:marTop w:val="0"/>
      <w:marBottom w:val="0"/>
      <w:divBdr>
        <w:top w:val="none" w:sz="0" w:space="0" w:color="auto"/>
        <w:left w:val="none" w:sz="0" w:space="0" w:color="auto"/>
        <w:bottom w:val="none" w:sz="0" w:space="0" w:color="auto"/>
        <w:right w:val="none" w:sz="0" w:space="0" w:color="auto"/>
      </w:divBdr>
      <w:divsChild>
        <w:div w:id="1190340238">
          <w:marLeft w:val="0"/>
          <w:marRight w:val="0"/>
          <w:marTop w:val="0"/>
          <w:marBottom w:val="0"/>
          <w:divBdr>
            <w:top w:val="none" w:sz="0" w:space="0" w:color="auto"/>
            <w:left w:val="none" w:sz="0" w:space="0" w:color="auto"/>
            <w:bottom w:val="none" w:sz="0" w:space="0" w:color="auto"/>
            <w:right w:val="none" w:sz="0" w:space="0" w:color="auto"/>
          </w:divBdr>
        </w:div>
      </w:divsChild>
    </w:div>
    <w:div w:id="427582585">
      <w:bodyDiv w:val="1"/>
      <w:marLeft w:val="0"/>
      <w:marRight w:val="0"/>
      <w:marTop w:val="0"/>
      <w:marBottom w:val="0"/>
      <w:divBdr>
        <w:top w:val="none" w:sz="0" w:space="0" w:color="auto"/>
        <w:left w:val="none" w:sz="0" w:space="0" w:color="auto"/>
        <w:bottom w:val="none" w:sz="0" w:space="0" w:color="auto"/>
        <w:right w:val="none" w:sz="0" w:space="0" w:color="auto"/>
      </w:divBdr>
    </w:div>
    <w:div w:id="469398717">
      <w:bodyDiv w:val="1"/>
      <w:marLeft w:val="0"/>
      <w:marRight w:val="0"/>
      <w:marTop w:val="0"/>
      <w:marBottom w:val="0"/>
      <w:divBdr>
        <w:top w:val="none" w:sz="0" w:space="0" w:color="auto"/>
        <w:left w:val="none" w:sz="0" w:space="0" w:color="auto"/>
        <w:bottom w:val="none" w:sz="0" w:space="0" w:color="auto"/>
        <w:right w:val="none" w:sz="0" w:space="0" w:color="auto"/>
      </w:divBdr>
    </w:div>
    <w:div w:id="506284349">
      <w:bodyDiv w:val="1"/>
      <w:marLeft w:val="0"/>
      <w:marRight w:val="0"/>
      <w:marTop w:val="0"/>
      <w:marBottom w:val="0"/>
      <w:divBdr>
        <w:top w:val="none" w:sz="0" w:space="0" w:color="auto"/>
        <w:left w:val="none" w:sz="0" w:space="0" w:color="auto"/>
        <w:bottom w:val="none" w:sz="0" w:space="0" w:color="auto"/>
        <w:right w:val="none" w:sz="0" w:space="0" w:color="auto"/>
      </w:divBdr>
    </w:div>
    <w:div w:id="512375331">
      <w:bodyDiv w:val="1"/>
      <w:marLeft w:val="0"/>
      <w:marRight w:val="0"/>
      <w:marTop w:val="0"/>
      <w:marBottom w:val="0"/>
      <w:divBdr>
        <w:top w:val="none" w:sz="0" w:space="0" w:color="auto"/>
        <w:left w:val="none" w:sz="0" w:space="0" w:color="auto"/>
        <w:bottom w:val="none" w:sz="0" w:space="0" w:color="auto"/>
        <w:right w:val="none" w:sz="0" w:space="0" w:color="auto"/>
      </w:divBdr>
      <w:divsChild>
        <w:div w:id="2126073722">
          <w:marLeft w:val="0"/>
          <w:marRight w:val="0"/>
          <w:marTop w:val="0"/>
          <w:marBottom w:val="0"/>
          <w:divBdr>
            <w:top w:val="none" w:sz="0" w:space="0" w:color="auto"/>
            <w:left w:val="none" w:sz="0" w:space="0" w:color="auto"/>
            <w:bottom w:val="none" w:sz="0" w:space="0" w:color="auto"/>
            <w:right w:val="none" w:sz="0" w:space="0" w:color="auto"/>
          </w:divBdr>
        </w:div>
      </w:divsChild>
    </w:div>
    <w:div w:id="530849488">
      <w:bodyDiv w:val="1"/>
      <w:marLeft w:val="0"/>
      <w:marRight w:val="0"/>
      <w:marTop w:val="0"/>
      <w:marBottom w:val="0"/>
      <w:divBdr>
        <w:top w:val="none" w:sz="0" w:space="0" w:color="auto"/>
        <w:left w:val="none" w:sz="0" w:space="0" w:color="auto"/>
        <w:bottom w:val="none" w:sz="0" w:space="0" w:color="auto"/>
        <w:right w:val="none" w:sz="0" w:space="0" w:color="auto"/>
      </w:divBdr>
      <w:divsChild>
        <w:div w:id="331421161">
          <w:marLeft w:val="0"/>
          <w:marRight w:val="0"/>
          <w:marTop w:val="0"/>
          <w:marBottom w:val="0"/>
          <w:divBdr>
            <w:top w:val="none" w:sz="0" w:space="0" w:color="auto"/>
            <w:left w:val="none" w:sz="0" w:space="0" w:color="auto"/>
            <w:bottom w:val="none" w:sz="0" w:space="0" w:color="auto"/>
            <w:right w:val="none" w:sz="0" w:space="0" w:color="auto"/>
          </w:divBdr>
        </w:div>
      </w:divsChild>
    </w:div>
    <w:div w:id="593785923">
      <w:bodyDiv w:val="1"/>
      <w:marLeft w:val="0"/>
      <w:marRight w:val="0"/>
      <w:marTop w:val="0"/>
      <w:marBottom w:val="0"/>
      <w:divBdr>
        <w:top w:val="none" w:sz="0" w:space="0" w:color="auto"/>
        <w:left w:val="none" w:sz="0" w:space="0" w:color="auto"/>
        <w:bottom w:val="none" w:sz="0" w:space="0" w:color="auto"/>
        <w:right w:val="none" w:sz="0" w:space="0" w:color="auto"/>
      </w:divBdr>
      <w:divsChild>
        <w:div w:id="1407462197">
          <w:marLeft w:val="0"/>
          <w:marRight w:val="0"/>
          <w:marTop w:val="0"/>
          <w:marBottom w:val="0"/>
          <w:divBdr>
            <w:top w:val="none" w:sz="0" w:space="0" w:color="auto"/>
            <w:left w:val="none" w:sz="0" w:space="0" w:color="auto"/>
            <w:bottom w:val="none" w:sz="0" w:space="0" w:color="auto"/>
            <w:right w:val="none" w:sz="0" w:space="0" w:color="auto"/>
          </w:divBdr>
        </w:div>
      </w:divsChild>
    </w:div>
    <w:div w:id="630282000">
      <w:bodyDiv w:val="1"/>
      <w:marLeft w:val="0"/>
      <w:marRight w:val="0"/>
      <w:marTop w:val="0"/>
      <w:marBottom w:val="0"/>
      <w:divBdr>
        <w:top w:val="none" w:sz="0" w:space="0" w:color="auto"/>
        <w:left w:val="none" w:sz="0" w:space="0" w:color="auto"/>
        <w:bottom w:val="none" w:sz="0" w:space="0" w:color="auto"/>
        <w:right w:val="none" w:sz="0" w:space="0" w:color="auto"/>
      </w:divBdr>
    </w:div>
    <w:div w:id="646785491">
      <w:bodyDiv w:val="1"/>
      <w:marLeft w:val="0"/>
      <w:marRight w:val="0"/>
      <w:marTop w:val="0"/>
      <w:marBottom w:val="0"/>
      <w:divBdr>
        <w:top w:val="none" w:sz="0" w:space="0" w:color="auto"/>
        <w:left w:val="none" w:sz="0" w:space="0" w:color="auto"/>
        <w:bottom w:val="none" w:sz="0" w:space="0" w:color="auto"/>
        <w:right w:val="none" w:sz="0" w:space="0" w:color="auto"/>
      </w:divBdr>
    </w:div>
    <w:div w:id="664741594">
      <w:bodyDiv w:val="1"/>
      <w:marLeft w:val="0"/>
      <w:marRight w:val="0"/>
      <w:marTop w:val="0"/>
      <w:marBottom w:val="0"/>
      <w:divBdr>
        <w:top w:val="none" w:sz="0" w:space="0" w:color="auto"/>
        <w:left w:val="none" w:sz="0" w:space="0" w:color="auto"/>
        <w:bottom w:val="none" w:sz="0" w:space="0" w:color="auto"/>
        <w:right w:val="none" w:sz="0" w:space="0" w:color="auto"/>
      </w:divBdr>
    </w:div>
    <w:div w:id="729698054">
      <w:bodyDiv w:val="1"/>
      <w:marLeft w:val="0"/>
      <w:marRight w:val="0"/>
      <w:marTop w:val="0"/>
      <w:marBottom w:val="0"/>
      <w:divBdr>
        <w:top w:val="none" w:sz="0" w:space="0" w:color="auto"/>
        <w:left w:val="none" w:sz="0" w:space="0" w:color="auto"/>
        <w:bottom w:val="none" w:sz="0" w:space="0" w:color="auto"/>
        <w:right w:val="none" w:sz="0" w:space="0" w:color="auto"/>
      </w:divBdr>
      <w:divsChild>
        <w:div w:id="273483144">
          <w:marLeft w:val="0"/>
          <w:marRight w:val="0"/>
          <w:marTop w:val="0"/>
          <w:marBottom w:val="0"/>
          <w:divBdr>
            <w:top w:val="none" w:sz="0" w:space="0" w:color="auto"/>
            <w:left w:val="none" w:sz="0" w:space="0" w:color="auto"/>
            <w:bottom w:val="none" w:sz="0" w:space="0" w:color="auto"/>
            <w:right w:val="none" w:sz="0" w:space="0" w:color="auto"/>
          </w:divBdr>
        </w:div>
      </w:divsChild>
    </w:div>
    <w:div w:id="759523147">
      <w:bodyDiv w:val="1"/>
      <w:marLeft w:val="0"/>
      <w:marRight w:val="0"/>
      <w:marTop w:val="0"/>
      <w:marBottom w:val="0"/>
      <w:divBdr>
        <w:top w:val="none" w:sz="0" w:space="0" w:color="auto"/>
        <w:left w:val="none" w:sz="0" w:space="0" w:color="auto"/>
        <w:bottom w:val="none" w:sz="0" w:space="0" w:color="auto"/>
        <w:right w:val="none" w:sz="0" w:space="0" w:color="auto"/>
      </w:divBdr>
    </w:div>
    <w:div w:id="776368358">
      <w:bodyDiv w:val="1"/>
      <w:marLeft w:val="0"/>
      <w:marRight w:val="0"/>
      <w:marTop w:val="0"/>
      <w:marBottom w:val="0"/>
      <w:divBdr>
        <w:top w:val="none" w:sz="0" w:space="0" w:color="auto"/>
        <w:left w:val="none" w:sz="0" w:space="0" w:color="auto"/>
        <w:bottom w:val="none" w:sz="0" w:space="0" w:color="auto"/>
        <w:right w:val="none" w:sz="0" w:space="0" w:color="auto"/>
      </w:divBdr>
    </w:div>
    <w:div w:id="799104706">
      <w:bodyDiv w:val="1"/>
      <w:marLeft w:val="0"/>
      <w:marRight w:val="0"/>
      <w:marTop w:val="0"/>
      <w:marBottom w:val="0"/>
      <w:divBdr>
        <w:top w:val="none" w:sz="0" w:space="0" w:color="auto"/>
        <w:left w:val="none" w:sz="0" w:space="0" w:color="auto"/>
        <w:bottom w:val="none" w:sz="0" w:space="0" w:color="auto"/>
        <w:right w:val="none" w:sz="0" w:space="0" w:color="auto"/>
      </w:divBdr>
      <w:divsChild>
        <w:div w:id="896938806">
          <w:marLeft w:val="0"/>
          <w:marRight w:val="0"/>
          <w:marTop w:val="0"/>
          <w:marBottom w:val="0"/>
          <w:divBdr>
            <w:top w:val="none" w:sz="0" w:space="0" w:color="auto"/>
            <w:left w:val="none" w:sz="0" w:space="0" w:color="auto"/>
            <w:bottom w:val="none" w:sz="0" w:space="0" w:color="auto"/>
            <w:right w:val="none" w:sz="0" w:space="0" w:color="auto"/>
          </w:divBdr>
        </w:div>
      </w:divsChild>
    </w:div>
    <w:div w:id="962270849">
      <w:bodyDiv w:val="1"/>
      <w:marLeft w:val="0"/>
      <w:marRight w:val="0"/>
      <w:marTop w:val="0"/>
      <w:marBottom w:val="0"/>
      <w:divBdr>
        <w:top w:val="none" w:sz="0" w:space="0" w:color="auto"/>
        <w:left w:val="none" w:sz="0" w:space="0" w:color="auto"/>
        <w:bottom w:val="none" w:sz="0" w:space="0" w:color="auto"/>
        <w:right w:val="none" w:sz="0" w:space="0" w:color="auto"/>
      </w:divBdr>
    </w:div>
    <w:div w:id="988289689">
      <w:bodyDiv w:val="1"/>
      <w:marLeft w:val="0"/>
      <w:marRight w:val="0"/>
      <w:marTop w:val="0"/>
      <w:marBottom w:val="0"/>
      <w:divBdr>
        <w:top w:val="none" w:sz="0" w:space="0" w:color="auto"/>
        <w:left w:val="none" w:sz="0" w:space="0" w:color="auto"/>
        <w:bottom w:val="none" w:sz="0" w:space="0" w:color="auto"/>
        <w:right w:val="none" w:sz="0" w:space="0" w:color="auto"/>
      </w:divBdr>
      <w:divsChild>
        <w:div w:id="410665697">
          <w:marLeft w:val="0"/>
          <w:marRight w:val="0"/>
          <w:marTop w:val="0"/>
          <w:marBottom w:val="0"/>
          <w:divBdr>
            <w:top w:val="none" w:sz="0" w:space="0" w:color="auto"/>
            <w:left w:val="none" w:sz="0" w:space="0" w:color="auto"/>
            <w:bottom w:val="none" w:sz="0" w:space="0" w:color="auto"/>
            <w:right w:val="none" w:sz="0" w:space="0" w:color="auto"/>
          </w:divBdr>
        </w:div>
      </w:divsChild>
    </w:div>
    <w:div w:id="1058897590">
      <w:bodyDiv w:val="1"/>
      <w:marLeft w:val="0"/>
      <w:marRight w:val="0"/>
      <w:marTop w:val="0"/>
      <w:marBottom w:val="0"/>
      <w:divBdr>
        <w:top w:val="none" w:sz="0" w:space="0" w:color="auto"/>
        <w:left w:val="none" w:sz="0" w:space="0" w:color="auto"/>
        <w:bottom w:val="none" w:sz="0" w:space="0" w:color="auto"/>
        <w:right w:val="none" w:sz="0" w:space="0" w:color="auto"/>
      </w:divBdr>
    </w:div>
    <w:div w:id="1099981436">
      <w:bodyDiv w:val="1"/>
      <w:marLeft w:val="0"/>
      <w:marRight w:val="0"/>
      <w:marTop w:val="0"/>
      <w:marBottom w:val="0"/>
      <w:divBdr>
        <w:top w:val="none" w:sz="0" w:space="0" w:color="auto"/>
        <w:left w:val="none" w:sz="0" w:space="0" w:color="auto"/>
        <w:bottom w:val="none" w:sz="0" w:space="0" w:color="auto"/>
        <w:right w:val="none" w:sz="0" w:space="0" w:color="auto"/>
      </w:divBdr>
    </w:div>
    <w:div w:id="1167283910">
      <w:bodyDiv w:val="1"/>
      <w:marLeft w:val="0"/>
      <w:marRight w:val="0"/>
      <w:marTop w:val="0"/>
      <w:marBottom w:val="0"/>
      <w:divBdr>
        <w:top w:val="none" w:sz="0" w:space="0" w:color="auto"/>
        <w:left w:val="none" w:sz="0" w:space="0" w:color="auto"/>
        <w:bottom w:val="none" w:sz="0" w:space="0" w:color="auto"/>
        <w:right w:val="none" w:sz="0" w:space="0" w:color="auto"/>
      </w:divBdr>
      <w:divsChild>
        <w:div w:id="1146315087">
          <w:marLeft w:val="0"/>
          <w:marRight w:val="0"/>
          <w:marTop w:val="0"/>
          <w:marBottom w:val="0"/>
          <w:divBdr>
            <w:top w:val="none" w:sz="0" w:space="0" w:color="auto"/>
            <w:left w:val="none" w:sz="0" w:space="0" w:color="auto"/>
            <w:bottom w:val="none" w:sz="0" w:space="0" w:color="auto"/>
            <w:right w:val="none" w:sz="0" w:space="0" w:color="auto"/>
          </w:divBdr>
        </w:div>
      </w:divsChild>
    </w:div>
    <w:div w:id="1172068668">
      <w:bodyDiv w:val="1"/>
      <w:marLeft w:val="0"/>
      <w:marRight w:val="0"/>
      <w:marTop w:val="0"/>
      <w:marBottom w:val="0"/>
      <w:divBdr>
        <w:top w:val="none" w:sz="0" w:space="0" w:color="auto"/>
        <w:left w:val="none" w:sz="0" w:space="0" w:color="auto"/>
        <w:bottom w:val="none" w:sz="0" w:space="0" w:color="auto"/>
        <w:right w:val="none" w:sz="0" w:space="0" w:color="auto"/>
      </w:divBdr>
    </w:div>
    <w:div w:id="1181554051">
      <w:bodyDiv w:val="1"/>
      <w:marLeft w:val="0"/>
      <w:marRight w:val="0"/>
      <w:marTop w:val="0"/>
      <w:marBottom w:val="0"/>
      <w:divBdr>
        <w:top w:val="none" w:sz="0" w:space="0" w:color="auto"/>
        <w:left w:val="none" w:sz="0" w:space="0" w:color="auto"/>
        <w:bottom w:val="none" w:sz="0" w:space="0" w:color="auto"/>
        <w:right w:val="none" w:sz="0" w:space="0" w:color="auto"/>
      </w:divBdr>
    </w:div>
    <w:div w:id="1211768014">
      <w:bodyDiv w:val="1"/>
      <w:marLeft w:val="0"/>
      <w:marRight w:val="0"/>
      <w:marTop w:val="0"/>
      <w:marBottom w:val="0"/>
      <w:divBdr>
        <w:top w:val="none" w:sz="0" w:space="0" w:color="auto"/>
        <w:left w:val="none" w:sz="0" w:space="0" w:color="auto"/>
        <w:bottom w:val="none" w:sz="0" w:space="0" w:color="auto"/>
        <w:right w:val="none" w:sz="0" w:space="0" w:color="auto"/>
      </w:divBdr>
      <w:divsChild>
        <w:div w:id="1988699744">
          <w:marLeft w:val="0"/>
          <w:marRight w:val="0"/>
          <w:marTop w:val="0"/>
          <w:marBottom w:val="0"/>
          <w:divBdr>
            <w:top w:val="none" w:sz="0" w:space="0" w:color="auto"/>
            <w:left w:val="none" w:sz="0" w:space="0" w:color="auto"/>
            <w:bottom w:val="none" w:sz="0" w:space="0" w:color="auto"/>
            <w:right w:val="none" w:sz="0" w:space="0" w:color="auto"/>
          </w:divBdr>
        </w:div>
      </w:divsChild>
    </w:div>
    <w:div w:id="1304578403">
      <w:bodyDiv w:val="1"/>
      <w:marLeft w:val="0"/>
      <w:marRight w:val="0"/>
      <w:marTop w:val="0"/>
      <w:marBottom w:val="0"/>
      <w:divBdr>
        <w:top w:val="none" w:sz="0" w:space="0" w:color="auto"/>
        <w:left w:val="none" w:sz="0" w:space="0" w:color="auto"/>
        <w:bottom w:val="none" w:sz="0" w:space="0" w:color="auto"/>
        <w:right w:val="none" w:sz="0" w:space="0" w:color="auto"/>
      </w:divBdr>
    </w:div>
    <w:div w:id="1471095501">
      <w:bodyDiv w:val="1"/>
      <w:marLeft w:val="0"/>
      <w:marRight w:val="0"/>
      <w:marTop w:val="0"/>
      <w:marBottom w:val="0"/>
      <w:divBdr>
        <w:top w:val="none" w:sz="0" w:space="0" w:color="auto"/>
        <w:left w:val="none" w:sz="0" w:space="0" w:color="auto"/>
        <w:bottom w:val="none" w:sz="0" w:space="0" w:color="auto"/>
        <w:right w:val="none" w:sz="0" w:space="0" w:color="auto"/>
      </w:divBdr>
      <w:divsChild>
        <w:div w:id="1805923033">
          <w:marLeft w:val="0"/>
          <w:marRight w:val="0"/>
          <w:marTop w:val="0"/>
          <w:marBottom w:val="0"/>
          <w:divBdr>
            <w:top w:val="none" w:sz="0" w:space="0" w:color="auto"/>
            <w:left w:val="none" w:sz="0" w:space="0" w:color="auto"/>
            <w:bottom w:val="none" w:sz="0" w:space="0" w:color="auto"/>
            <w:right w:val="none" w:sz="0" w:space="0" w:color="auto"/>
          </w:divBdr>
        </w:div>
      </w:divsChild>
    </w:div>
    <w:div w:id="1499419990">
      <w:bodyDiv w:val="1"/>
      <w:marLeft w:val="0"/>
      <w:marRight w:val="0"/>
      <w:marTop w:val="0"/>
      <w:marBottom w:val="0"/>
      <w:divBdr>
        <w:top w:val="none" w:sz="0" w:space="0" w:color="auto"/>
        <w:left w:val="none" w:sz="0" w:space="0" w:color="auto"/>
        <w:bottom w:val="none" w:sz="0" w:space="0" w:color="auto"/>
        <w:right w:val="none" w:sz="0" w:space="0" w:color="auto"/>
      </w:divBdr>
      <w:divsChild>
        <w:div w:id="1997151690">
          <w:marLeft w:val="0"/>
          <w:marRight w:val="0"/>
          <w:marTop w:val="0"/>
          <w:marBottom w:val="0"/>
          <w:divBdr>
            <w:top w:val="none" w:sz="0" w:space="0" w:color="auto"/>
            <w:left w:val="none" w:sz="0" w:space="0" w:color="auto"/>
            <w:bottom w:val="none" w:sz="0" w:space="0" w:color="auto"/>
            <w:right w:val="none" w:sz="0" w:space="0" w:color="auto"/>
          </w:divBdr>
        </w:div>
      </w:divsChild>
    </w:div>
    <w:div w:id="1504274420">
      <w:bodyDiv w:val="1"/>
      <w:marLeft w:val="0"/>
      <w:marRight w:val="0"/>
      <w:marTop w:val="0"/>
      <w:marBottom w:val="0"/>
      <w:divBdr>
        <w:top w:val="none" w:sz="0" w:space="0" w:color="auto"/>
        <w:left w:val="none" w:sz="0" w:space="0" w:color="auto"/>
        <w:bottom w:val="none" w:sz="0" w:space="0" w:color="auto"/>
        <w:right w:val="none" w:sz="0" w:space="0" w:color="auto"/>
      </w:divBdr>
    </w:div>
    <w:div w:id="1551965444">
      <w:bodyDiv w:val="1"/>
      <w:marLeft w:val="0"/>
      <w:marRight w:val="0"/>
      <w:marTop w:val="0"/>
      <w:marBottom w:val="0"/>
      <w:divBdr>
        <w:top w:val="none" w:sz="0" w:space="0" w:color="auto"/>
        <w:left w:val="none" w:sz="0" w:space="0" w:color="auto"/>
        <w:bottom w:val="none" w:sz="0" w:space="0" w:color="auto"/>
        <w:right w:val="none" w:sz="0" w:space="0" w:color="auto"/>
      </w:divBdr>
      <w:divsChild>
        <w:div w:id="1092512504">
          <w:marLeft w:val="0"/>
          <w:marRight w:val="0"/>
          <w:marTop w:val="0"/>
          <w:marBottom w:val="0"/>
          <w:divBdr>
            <w:top w:val="none" w:sz="0" w:space="0" w:color="auto"/>
            <w:left w:val="none" w:sz="0" w:space="0" w:color="auto"/>
            <w:bottom w:val="none" w:sz="0" w:space="0" w:color="auto"/>
            <w:right w:val="none" w:sz="0" w:space="0" w:color="auto"/>
          </w:divBdr>
        </w:div>
      </w:divsChild>
    </w:div>
    <w:div w:id="1624656699">
      <w:bodyDiv w:val="1"/>
      <w:marLeft w:val="0"/>
      <w:marRight w:val="0"/>
      <w:marTop w:val="0"/>
      <w:marBottom w:val="0"/>
      <w:divBdr>
        <w:top w:val="none" w:sz="0" w:space="0" w:color="auto"/>
        <w:left w:val="none" w:sz="0" w:space="0" w:color="auto"/>
        <w:bottom w:val="none" w:sz="0" w:space="0" w:color="auto"/>
        <w:right w:val="none" w:sz="0" w:space="0" w:color="auto"/>
      </w:divBdr>
      <w:divsChild>
        <w:div w:id="171535317">
          <w:marLeft w:val="0"/>
          <w:marRight w:val="0"/>
          <w:marTop w:val="0"/>
          <w:marBottom w:val="0"/>
          <w:divBdr>
            <w:top w:val="none" w:sz="0" w:space="0" w:color="auto"/>
            <w:left w:val="none" w:sz="0" w:space="0" w:color="auto"/>
            <w:bottom w:val="none" w:sz="0" w:space="0" w:color="auto"/>
            <w:right w:val="none" w:sz="0" w:space="0" w:color="auto"/>
          </w:divBdr>
        </w:div>
      </w:divsChild>
    </w:div>
    <w:div w:id="1710686458">
      <w:bodyDiv w:val="1"/>
      <w:marLeft w:val="0"/>
      <w:marRight w:val="0"/>
      <w:marTop w:val="0"/>
      <w:marBottom w:val="0"/>
      <w:divBdr>
        <w:top w:val="none" w:sz="0" w:space="0" w:color="auto"/>
        <w:left w:val="none" w:sz="0" w:space="0" w:color="auto"/>
        <w:bottom w:val="none" w:sz="0" w:space="0" w:color="auto"/>
        <w:right w:val="none" w:sz="0" w:space="0" w:color="auto"/>
      </w:divBdr>
    </w:div>
    <w:div w:id="1764763179">
      <w:bodyDiv w:val="1"/>
      <w:marLeft w:val="0"/>
      <w:marRight w:val="0"/>
      <w:marTop w:val="0"/>
      <w:marBottom w:val="0"/>
      <w:divBdr>
        <w:top w:val="none" w:sz="0" w:space="0" w:color="auto"/>
        <w:left w:val="none" w:sz="0" w:space="0" w:color="auto"/>
        <w:bottom w:val="none" w:sz="0" w:space="0" w:color="auto"/>
        <w:right w:val="none" w:sz="0" w:space="0" w:color="auto"/>
      </w:divBdr>
    </w:div>
    <w:div w:id="1841389743">
      <w:bodyDiv w:val="1"/>
      <w:marLeft w:val="0"/>
      <w:marRight w:val="0"/>
      <w:marTop w:val="0"/>
      <w:marBottom w:val="0"/>
      <w:divBdr>
        <w:top w:val="none" w:sz="0" w:space="0" w:color="auto"/>
        <w:left w:val="none" w:sz="0" w:space="0" w:color="auto"/>
        <w:bottom w:val="none" w:sz="0" w:space="0" w:color="auto"/>
        <w:right w:val="none" w:sz="0" w:space="0" w:color="auto"/>
      </w:divBdr>
    </w:div>
    <w:div w:id="1883714608">
      <w:bodyDiv w:val="1"/>
      <w:marLeft w:val="0"/>
      <w:marRight w:val="0"/>
      <w:marTop w:val="0"/>
      <w:marBottom w:val="0"/>
      <w:divBdr>
        <w:top w:val="none" w:sz="0" w:space="0" w:color="auto"/>
        <w:left w:val="none" w:sz="0" w:space="0" w:color="auto"/>
        <w:bottom w:val="none" w:sz="0" w:space="0" w:color="auto"/>
        <w:right w:val="none" w:sz="0" w:space="0" w:color="auto"/>
      </w:divBdr>
      <w:divsChild>
        <w:div w:id="222564042">
          <w:marLeft w:val="0"/>
          <w:marRight w:val="0"/>
          <w:marTop w:val="0"/>
          <w:marBottom w:val="0"/>
          <w:divBdr>
            <w:top w:val="none" w:sz="0" w:space="0" w:color="auto"/>
            <w:left w:val="none" w:sz="0" w:space="0" w:color="auto"/>
            <w:bottom w:val="none" w:sz="0" w:space="0" w:color="auto"/>
            <w:right w:val="none" w:sz="0" w:space="0" w:color="auto"/>
          </w:divBdr>
        </w:div>
      </w:divsChild>
    </w:div>
    <w:div w:id="2047413088">
      <w:bodyDiv w:val="1"/>
      <w:marLeft w:val="0"/>
      <w:marRight w:val="0"/>
      <w:marTop w:val="0"/>
      <w:marBottom w:val="0"/>
      <w:divBdr>
        <w:top w:val="none" w:sz="0" w:space="0" w:color="auto"/>
        <w:left w:val="none" w:sz="0" w:space="0" w:color="auto"/>
        <w:bottom w:val="none" w:sz="0" w:space="0" w:color="auto"/>
        <w:right w:val="none" w:sz="0" w:space="0" w:color="auto"/>
      </w:divBdr>
      <w:divsChild>
        <w:div w:id="1080106316">
          <w:marLeft w:val="0"/>
          <w:marRight w:val="0"/>
          <w:marTop w:val="0"/>
          <w:marBottom w:val="0"/>
          <w:divBdr>
            <w:top w:val="none" w:sz="0" w:space="0" w:color="auto"/>
            <w:left w:val="none" w:sz="0" w:space="0" w:color="auto"/>
            <w:bottom w:val="none" w:sz="0" w:space="0" w:color="auto"/>
            <w:right w:val="none" w:sz="0" w:space="0" w:color="auto"/>
          </w:divBdr>
        </w:div>
      </w:divsChild>
    </w:div>
    <w:div w:id="2112818988">
      <w:bodyDiv w:val="1"/>
      <w:marLeft w:val="0"/>
      <w:marRight w:val="0"/>
      <w:marTop w:val="0"/>
      <w:marBottom w:val="0"/>
      <w:divBdr>
        <w:top w:val="none" w:sz="0" w:space="0" w:color="auto"/>
        <w:left w:val="none" w:sz="0" w:space="0" w:color="auto"/>
        <w:bottom w:val="none" w:sz="0" w:space="0" w:color="auto"/>
        <w:right w:val="none" w:sz="0" w:space="0" w:color="auto"/>
      </w:divBdr>
      <w:divsChild>
        <w:div w:id="668021894">
          <w:marLeft w:val="0"/>
          <w:marRight w:val="0"/>
          <w:marTop w:val="0"/>
          <w:marBottom w:val="0"/>
          <w:divBdr>
            <w:top w:val="none" w:sz="0" w:space="0" w:color="auto"/>
            <w:left w:val="none" w:sz="0" w:space="0" w:color="auto"/>
            <w:bottom w:val="none" w:sz="0" w:space="0" w:color="auto"/>
            <w:right w:val="none" w:sz="0" w:space="0" w:color="auto"/>
          </w:divBdr>
        </w:div>
      </w:divsChild>
    </w:div>
    <w:div w:id="2122064027">
      <w:bodyDiv w:val="1"/>
      <w:marLeft w:val="0"/>
      <w:marRight w:val="0"/>
      <w:marTop w:val="0"/>
      <w:marBottom w:val="0"/>
      <w:divBdr>
        <w:top w:val="none" w:sz="0" w:space="0" w:color="auto"/>
        <w:left w:val="none" w:sz="0" w:space="0" w:color="auto"/>
        <w:bottom w:val="none" w:sz="0" w:space="0" w:color="auto"/>
        <w:right w:val="none" w:sz="0" w:space="0" w:color="auto"/>
      </w:divBdr>
      <w:divsChild>
        <w:div w:id="81068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image" Target="media/image3.png"/><Relationship Id="rId42" Type="http://schemas.openxmlformats.org/officeDocument/2006/relationships/hyperlink" Target="https://www.un-soff.org/wp-content/uploads/2025/09/Chad-SOFF-Investment-Phase-Progress-Update_IE_July-2025.pdf" TargetMode="External"/><Relationship Id="rId47" Type="http://schemas.openxmlformats.org/officeDocument/2006/relationships/hyperlink" Target="https://www.un-soff.org/document/inf-11-2-soff-portfolio-and-implementation-progress/" TargetMode="External"/><Relationship Id="rId63" Type="http://schemas.openxmlformats.org/officeDocument/2006/relationships/hyperlink" Target="https://www.un-soff.org/wp-content/uploads/2025/09/Tanzania_SOFF-Investment-Phase-Semi-annual-Progress-Update-July-2025.pdf" TargetMode="External"/><Relationship Id="rId68" Type="http://schemas.openxmlformats.org/officeDocument/2006/relationships/hyperlink" Target="https://www.un-soff.org/wp-content/uploads/2025/09/Uganda-Peer-Advisor-Semi-Annual-Report-July-2025.pdf" TargetMode="External"/><Relationship Id="rId2" Type="http://schemas.openxmlformats.org/officeDocument/2006/relationships/customXml" Target="../customXml/item2.xml"/><Relationship Id="rId16" Type="http://schemas.openxmlformats.org/officeDocument/2006/relationships/hyperlink" Target="https://www.un-soff.org/dashboard/" TargetMode="External"/><Relationship Id="rId29" Type="http://schemas.openxmlformats.org/officeDocument/2006/relationships/hyperlink" Target="https://www.un-soff.org/document/intersessional-decision-2-1-soff-regional-workshops/" TargetMode="External"/><Relationship Id="rId11" Type="http://schemas.openxmlformats.org/officeDocument/2006/relationships/footnotes" Target="footnotes.xml"/><Relationship Id="rId24" Type="http://schemas.openxmlformats.org/officeDocument/2006/relationships/hyperlink" Target="https://www.un-soff.org/document/decision-11-8-food-and-agriculture-organization-of-the-united-nations-serving-as-soff-implementing-entity/" TargetMode="External"/><Relationship Id="rId32" Type="http://schemas.openxmlformats.org/officeDocument/2006/relationships/hyperlink" Target="https://www.un-soff.org/private-link/soff-peer-advisor-and-implementing-entity-workshop-october-6-8-cassablanca-morocco/" TargetMode="External"/><Relationship Id="rId37" Type="http://schemas.openxmlformats.org/officeDocument/2006/relationships/hyperlink" Target="https://www.un-soff.org/wp-content/uploads/2025/09/Bhutan_investment_phase_semi_annual_report_Peer-Advisor-July-2025_2025H1_signed.pdf" TargetMode="External"/><Relationship Id="rId40" Type="http://schemas.openxmlformats.org/officeDocument/2006/relationships/hyperlink" Target="https://www.un-soff.org/wp-content/uploads/2025/09/SOFF-Investment-Phase-Semi-Annual-Report-Peer-Advisor_July2025_final.pdf" TargetMode="External"/><Relationship Id="rId45" Type="http://schemas.openxmlformats.org/officeDocument/2006/relationships/hyperlink" Target="https://www.un-soff.org/wp-content/uploads/2025/09/Ethiopia-SOFF-Investment-Phase-Progress-Update-July-2025_IE-updated.pdf" TargetMode="External"/><Relationship Id="rId53" Type="http://schemas.openxmlformats.org/officeDocument/2006/relationships/hyperlink" Target="https://www.un-soff.org/document/inf-11-2-soff-portfolio-and-implementation-progress/" TargetMode="External"/><Relationship Id="rId58" Type="http://schemas.openxmlformats.org/officeDocument/2006/relationships/hyperlink" Target="https://www.un-soff.org/wp-content/uploads/2025/09/Rwanda_-SOFF-Investment-Phase-Semi-Annual-Report-August-2025_Peer-Advisor_signed_beneficiary.pdf" TargetMode="External"/><Relationship Id="rId66" Type="http://schemas.openxmlformats.org/officeDocument/2006/relationships/hyperlink" Target="https://www.un-soff.org/wp-content/uploads/2025/09/Timor-Leste_-SOFF-Investment-Phase-Semi-Annual-Report_Peer-Advisor_July-2025-I.pdf"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un-soff.org/document/inf-11-2-soff-portfolio-and-implementation-progress/" TargetMode="External"/><Relationship Id="rId19" Type="http://schemas.openxmlformats.org/officeDocument/2006/relationships/hyperlink" Target="https://www.un-soff.org/document/decision-11-8-food-and-agriculture-organization-of-the-united-nations-serving-as-soff-implementing-entity/" TargetMode="External"/><Relationship Id="rId14" Type="http://schemas.openxmlformats.org/officeDocument/2006/relationships/header" Target="header1.xml"/><Relationship Id="rId22" Type="http://schemas.openxmlformats.org/officeDocument/2006/relationships/hyperlink" Target="https://www.un-soff.org/document/inf-11-2-soff-portfolio-and-implementation-progress/" TargetMode="External"/><Relationship Id="rId27" Type="http://schemas.openxmlformats.org/officeDocument/2006/relationships/chart" Target="charts/chart2.xml"/><Relationship Id="rId30" Type="http://schemas.openxmlformats.org/officeDocument/2006/relationships/hyperlink" Target="https://www.un-soff.org/document/decision-9-4-soff-regional-collaboration-and-partnerships/" TargetMode="External"/><Relationship Id="rId35" Type="http://schemas.openxmlformats.org/officeDocument/2006/relationships/hyperlink" Target="https://www.un-soff.org/wp-content/uploads/2025/09/Belize_-SOFF-Investment-Phase-Semi-Annual-Report-Template_Peer-Advisor-July-2025.pdf" TargetMode="External"/><Relationship Id="rId43" Type="http://schemas.openxmlformats.org/officeDocument/2006/relationships/hyperlink" Target="https://www.un-soff.org/wp-content/uploads/2025/09/SOFF-Investment-Phase-Semi-Annual-Report-Peer-Advisor_Chad-1_2025_FINALcorr_signed-GSA.pdf" TargetMode="External"/><Relationship Id="rId48" Type="http://schemas.openxmlformats.org/officeDocument/2006/relationships/hyperlink" Target="https://www.un-soff.org/wp-content/uploads/2025/09/Kiribati_Semi-Annual-Progress-Update_IE_-2025-July_-SOFF-UNEP.pdf" TargetMode="External"/><Relationship Id="rId56" Type="http://schemas.openxmlformats.org/officeDocument/2006/relationships/hyperlink" Target="https://www.un-soff.org/document/inf-11-2-soff-portfolio-and-implementation-progress/" TargetMode="External"/><Relationship Id="rId64" Type="http://schemas.openxmlformats.org/officeDocument/2006/relationships/hyperlink" Target="https://www.un-soff.org/document/inf-11-2-soff-portfolio-and-implementation-progress/" TargetMode="External"/><Relationship Id="rId69"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www.un-soff.org/wp-content/uploads/2025/09/Maldives_-Semi-Annual-Progress-Update_IE-_-2025-July-UNEP.pdf"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un-soff.org/document/inf-11-2-soff-portfolio-and-implementation-progress/" TargetMode="External"/><Relationship Id="rId25" Type="http://schemas.openxmlformats.org/officeDocument/2006/relationships/hyperlink" Target="https://www.un-soff.org/document/south-sudan-gbon-national-contribution-plan/" TargetMode="External"/><Relationship Id="rId33" Type="http://schemas.openxmlformats.org/officeDocument/2006/relationships/hyperlink" Target="https://etrp.wmo.int/course/view.php?id=348" TargetMode="External"/><Relationship Id="rId38" Type="http://schemas.openxmlformats.org/officeDocument/2006/relationships/hyperlink" Target="https://www.un-soff.org/document/inf-11-2-soff-portfolio-and-implementation-progress/" TargetMode="External"/><Relationship Id="rId46" Type="http://schemas.openxmlformats.org/officeDocument/2006/relationships/hyperlink" Target="https://eur01.safelinks.protection.outlook.com/?url=https%3A%2F%2Fwww.un-soff.org%2Fdocument%2Fethiopia-semi-annual-report-peer-advisor-july-2025%2F&amp;data=05%7C02%7Crnambooze%40wmo.int%7Cd5698b8074394b4fa4cc08ddfcd6bc24%7Ceaa6be54468740c49827c044bd8e8d3c%7C0%7C0%7C638944721422691548%7CUnknown%7CTWFpbGZsb3d8eyJFbXB0eU1hcGkiOnRydWUsIlYiOiIwLjAuMDAwMCIsIlAiOiJXaW4zMiIsIkFOIjoiTWFpbCIsIldUIjoyfQ%3D%3D%7C0%7C%7C%7C&amp;sdata=9u2yeDqDXnme3LxZRzl38y6a%2FbR%2FlYsu9PZqcA3Unsg%3D&amp;reserved=0" TargetMode="External"/><Relationship Id="rId59" Type="http://schemas.openxmlformats.org/officeDocument/2006/relationships/hyperlink" Target="https://www.un-soff.org/document/inf-11-2-soff-portfolio-and-implementation-progress/" TargetMode="External"/><Relationship Id="rId67" Type="http://schemas.openxmlformats.org/officeDocument/2006/relationships/hyperlink" Target="https://www.un-soff.org/wp-content/uploads/2025/09/Uganda_SOFF-Investment-Phase-Progress-Update_IsDB_July2025-1.pdf" TargetMode="External"/><Relationship Id="rId20" Type="http://schemas.openxmlformats.org/officeDocument/2006/relationships/hyperlink" Target="https://www.un-soff.org/dashboard/" TargetMode="External"/><Relationship Id="rId41" Type="http://schemas.openxmlformats.org/officeDocument/2006/relationships/hyperlink" Target="https://www.un-soff.org/document/inf-11-2-soff-portfolio-and-implementation-progress/" TargetMode="External"/><Relationship Id="rId54" Type="http://schemas.openxmlformats.org/officeDocument/2006/relationships/hyperlink" Target="https://www.un-soff.org/wp-content/uploads/2025/09/Mozambique-SOFF-Investment-Phase-Progress-IE_July-2025.pdf" TargetMode="External"/><Relationship Id="rId62" Type="http://schemas.openxmlformats.org/officeDocument/2006/relationships/hyperlink" Target="https://www.un-soff.org/document/decision-9-7-further-update-on-multilateral-development-banks-serving-as-soff-implementing-entities/"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un-soff.org/soff-investment-phase-pipeline/" TargetMode="External"/><Relationship Id="rId28" Type="http://schemas.openxmlformats.org/officeDocument/2006/relationships/hyperlink" Target="https://www.un-soff.org/document/decision-9-7-further-update-on-multilateral-development-banks-serving-as-soff-implementing-entities/" TargetMode="External"/><Relationship Id="rId36" Type="http://schemas.openxmlformats.org/officeDocument/2006/relationships/hyperlink" Target="https://www.un-soff.org/wp-content/uploads/2025/09/Bhutan_-Semi-Annual-Progress-Update_-IE-_-2025-July.pdf" TargetMode="External"/><Relationship Id="rId49" Type="http://schemas.openxmlformats.org/officeDocument/2006/relationships/hyperlink" Target="https://www.un-soff.org/document/inf-11-2-soff-portfolio-and-implementation-progress/" TargetMode="External"/><Relationship Id="rId57" Type="http://schemas.openxmlformats.org/officeDocument/2006/relationships/hyperlink" Target="https://www.un-soff.org/wp-content/uploads/2025/09/Rwanda_SOFF-Investment-Phase-Progress-Update-Semi-Annual-report-IE-Jan-Jun-2025.pdf" TargetMode="External"/><Relationship Id="rId10" Type="http://schemas.openxmlformats.org/officeDocument/2006/relationships/webSettings" Target="webSettings.xml"/><Relationship Id="rId31" Type="http://schemas.openxmlformats.org/officeDocument/2006/relationships/hyperlink" Target="https://www.un-soff.org/private-link/soff-africa-regional-workshop-investment-phase-implementation-october-1-3-cassablanca-morocco/" TargetMode="External"/><Relationship Id="rId44" Type="http://schemas.openxmlformats.org/officeDocument/2006/relationships/hyperlink" Target="https://www.un-soff.org/document/inf-11-2-soff-portfolio-and-implementation-progress/" TargetMode="External"/><Relationship Id="rId52" Type="http://schemas.openxmlformats.org/officeDocument/2006/relationships/hyperlink" Target="https://www.un-soff.org/wp-content/uploads/2025/09/SOFF-Investment-Phase-Semi-Annual-Report-Maldives-_-Peer-Advisor_July_2025.pdf" TargetMode="External"/><Relationship Id="rId60" Type="http://schemas.openxmlformats.org/officeDocument/2006/relationships/hyperlink" Target="https://www.un-soff.org/wp-content/uploads/2025/09/Solomon-Islands-SOFF-Investment-Phase-Progress-Update_IE_July-2025.pdf" TargetMode="External"/><Relationship Id="rId65" Type="http://schemas.openxmlformats.org/officeDocument/2006/relationships/hyperlink" Target="https://www.un-soff.org/wp-content/uploads/2025/09/Timor-Leste_-Semi-Annual-Progress-Update_-2025-July_-SOFF-UNEP.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un-soff.org/document/decision-11-6-approach-to-managing-country-funding-requests/" TargetMode="External"/><Relationship Id="rId39" Type="http://schemas.openxmlformats.org/officeDocument/2006/relationships/hyperlink" Target="https://www.un-soff.org/wp-content/uploads/2025/09/Cabo-Verde_-Semi-Annual-Progress-Update_-IE_-2025-July.pdf" TargetMode="External"/><Relationship Id="rId34" Type="http://schemas.openxmlformats.org/officeDocument/2006/relationships/hyperlink" Target="https://www.un-soff.org/wp-content/uploads/2025/09/Belize-Semi-Annual-Progress-update-IE-July-2025.pdf" TargetMode="External"/><Relationship Id="rId50" Type="http://schemas.openxmlformats.org/officeDocument/2006/relationships/hyperlink" Target="https://www.un-soff.org/document/decision-10-2-investment-funding-requests/" TargetMode="External"/><Relationship Id="rId55" Type="http://schemas.openxmlformats.org/officeDocument/2006/relationships/hyperlink" Target="https://www.un-soff.org/wp-content/uploads/2025/09/SOFF-Investment-Phase-Semi-Annual_peer-advisor_July-2025Signed-Report.pdf" TargetMode="External"/><Relationship Id="rId7" Type="http://schemas.openxmlformats.org/officeDocument/2006/relationships/numbering" Target="numbering.xml"/><Relationship Id="rId7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ofPieChart>
        <c:ofPieType val="pie"/>
        <c:varyColors val="1"/>
        <c:ser>
          <c:idx val="0"/>
          <c:order val="0"/>
          <c:tx>
            <c:strRef>
              <c:f>Sheet1!$B$1</c:f>
              <c:strCache>
                <c:ptCount val="1"/>
                <c:pt idx="0">
                  <c:v>Amount</c:v>
                </c:pt>
              </c:strCache>
            </c:strRef>
          </c:tx>
          <c:spPr>
            <a:ln>
              <a:noFill/>
            </a:ln>
          </c:spPr>
          <c:explosion val="10"/>
          <c:dPt>
            <c:idx val="0"/>
            <c:bubble3D val="0"/>
            <c:spPr>
              <a:solidFill>
                <a:schemeClr val="bg2">
                  <a:lumMod val="90000"/>
                </a:schemeClr>
              </a:solidFill>
              <a:ln w="19050">
                <a:noFill/>
              </a:ln>
              <a:effectLst/>
            </c:spPr>
            <c:extLst>
              <c:ext xmlns:c16="http://schemas.microsoft.com/office/drawing/2014/chart" uri="{C3380CC4-5D6E-409C-BE32-E72D297353CC}">
                <c16:uniqueId val="{00000001-E3FF-450F-88A6-48FC62C6CAF9}"/>
              </c:ext>
            </c:extLst>
          </c:dPt>
          <c:dPt>
            <c:idx val="1"/>
            <c:bubble3D val="0"/>
            <c:spPr>
              <a:solidFill>
                <a:schemeClr val="accent5">
                  <a:tint val="86000"/>
                </a:schemeClr>
              </a:solidFill>
              <a:ln w="19050">
                <a:noFill/>
              </a:ln>
              <a:effectLst/>
            </c:spPr>
            <c:extLst>
              <c:ext xmlns:c16="http://schemas.microsoft.com/office/drawing/2014/chart" uri="{C3380CC4-5D6E-409C-BE32-E72D297353CC}">
                <c16:uniqueId val="{00000003-E3FF-450F-88A6-48FC62C6CAF9}"/>
              </c:ext>
            </c:extLst>
          </c:dPt>
          <c:dPt>
            <c:idx val="2"/>
            <c:bubble3D val="0"/>
            <c:spPr>
              <a:solidFill>
                <a:srgbClr val="008B85"/>
              </a:solidFill>
              <a:ln w="19050">
                <a:noFill/>
              </a:ln>
              <a:effectLst/>
            </c:spPr>
            <c:extLst>
              <c:ext xmlns:c16="http://schemas.microsoft.com/office/drawing/2014/chart" uri="{C3380CC4-5D6E-409C-BE32-E72D297353CC}">
                <c16:uniqueId val="{00000005-E3FF-450F-88A6-48FC62C6CAF9}"/>
              </c:ext>
            </c:extLst>
          </c:dPt>
          <c:dPt>
            <c:idx val="3"/>
            <c:bubble3D val="0"/>
            <c:spPr>
              <a:solidFill>
                <a:schemeClr val="bg2">
                  <a:lumMod val="90000"/>
                </a:schemeClr>
              </a:solidFill>
              <a:ln w="19050">
                <a:noFill/>
              </a:ln>
              <a:effectLst/>
            </c:spPr>
            <c:extLst>
              <c:ext xmlns:c16="http://schemas.microsoft.com/office/drawing/2014/chart" uri="{C3380CC4-5D6E-409C-BE32-E72D297353CC}">
                <c16:uniqueId val="{00000007-E3FF-450F-88A6-48FC62C6CAF9}"/>
              </c:ext>
            </c:extLst>
          </c:dPt>
          <c:dPt>
            <c:idx val="4"/>
            <c:bubble3D val="0"/>
            <c:spPr>
              <a:solidFill>
                <a:srgbClr val="2F5F98"/>
              </a:solidFill>
              <a:ln w="19050">
                <a:noFill/>
              </a:ln>
              <a:effectLst/>
            </c:spPr>
            <c:extLst>
              <c:ext xmlns:c16="http://schemas.microsoft.com/office/drawing/2014/chart" uri="{C3380CC4-5D6E-409C-BE32-E72D297353CC}">
                <c16:uniqueId val="{00000009-E3FF-450F-88A6-48FC62C6CAF9}"/>
              </c:ext>
            </c:extLst>
          </c:dPt>
          <c:dLbls>
            <c:dLbl>
              <c:idx val="0"/>
              <c:layout>
                <c:manualLayout>
                  <c:x val="-4.9316654701207878E-3"/>
                  <c:y val="0.12414308124073484"/>
                </c:manualLayout>
              </c:layout>
              <c:tx>
                <c:rich>
                  <a:bodyPr/>
                  <a:lstStyle/>
                  <a:p>
                    <a:fld id="{0192A2AA-D097-CF41-A9BA-C3C20EABDE8D}" type="CATEGORYNAME">
                      <a:rPr lang="en-US"/>
                      <a:pPr/>
                      <a:t>[CATEGORY NAME]</a:t>
                    </a:fld>
                    <a:r>
                      <a:rPr lang="en-US"/>
                      <a:t> </a:t>
                    </a:r>
                  </a:p>
                  <a:p>
                    <a:r>
                      <a:rPr lang="en-US"/>
                      <a:t>(3 countries)</a:t>
                    </a:r>
                    <a:r>
                      <a:rPr lang="en-US" baseline="0"/>
                      <a:t> 16.1 m</a:t>
                    </a:r>
                  </a:p>
                </c:rich>
              </c:tx>
              <c:showLegendKey val="0"/>
              <c:showVal val="1"/>
              <c:showCatName val="1"/>
              <c:showSerName val="0"/>
              <c:showPercent val="0"/>
              <c:showBubbleSize val="0"/>
              <c:extLst>
                <c:ext xmlns:c15="http://schemas.microsoft.com/office/drawing/2012/chart" uri="{CE6537A1-D6FC-4f65-9D91-7224C49458BB}">
                  <c15:layout>
                    <c:manualLayout>
                      <c:w val="0.17236558472240904"/>
                      <c:h val="0.45541835737686071"/>
                    </c:manualLayout>
                  </c15:layout>
                  <c15:dlblFieldTable/>
                  <c15:showDataLabelsRange val="0"/>
                </c:ext>
                <c:ext xmlns:c16="http://schemas.microsoft.com/office/drawing/2014/chart" uri="{C3380CC4-5D6E-409C-BE32-E72D297353CC}">
                  <c16:uniqueId val="{00000001-E3FF-450F-88A6-48FC62C6CAF9}"/>
                </c:ext>
              </c:extLst>
            </c:dLbl>
            <c:dLbl>
              <c:idx val="2"/>
              <c:layout>
                <c:manualLayout>
                  <c:x val="-0.16410355899993456"/>
                  <c:y val="0.19566296913615722"/>
                </c:manualLayout>
              </c:layout>
              <c:tx>
                <c:rich>
                  <a:bodyPr rot="0" spcFirstLastPara="1" vertOverflow="ellipsis" vert="horz" wrap="square" anchor="ctr" anchorCtr="1"/>
                  <a:lstStyle/>
                  <a:p>
                    <a:pPr>
                      <a:defRPr sz="800" b="1"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fld id="{BAA9DF27-5F43-6548-B042-C937FD74EF3E}" type="CATEGORYNAME">
                      <a:rPr lang="en-US" sz="800">
                        <a:solidFill>
                          <a:schemeClr val="bg1"/>
                        </a:solidFill>
                      </a:rPr>
                      <a:pPr>
                        <a:defRPr sz="800">
                          <a:solidFill>
                            <a:schemeClr val="bg1"/>
                          </a:solidFill>
                        </a:defRPr>
                      </a:pPr>
                      <a:t>[CATEGORY NAME]</a:t>
                    </a:fld>
                    <a:r>
                      <a:rPr lang="en-US" sz="800">
                        <a:solidFill>
                          <a:schemeClr val="bg1"/>
                        </a:solidFill>
                      </a:rPr>
                      <a:t> </a:t>
                    </a:r>
                  </a:p>
                  <a:p>
                    <a:pPr>
                      <a:defRPr sz="800">
                        <a:solidFill>
                          <a:schemeClr val="bg1"/>
                        </a:solidFill>
                      </a:defRPr>
                    </a:pPr>
                    <a:r>
                      <a:rPr lang="en-US" sz="800">
                        <a:solidFill>
                          <a:schemeClr val="bg1"/>
                        </a:solidFill>
                      </a:rPr>
                      <a:t>(14* countries)</a:t>
                    </a:r>
                    <a:r>
                      <a:rPr lang="en-US" sz="800" baseline="0">
                        <a:solidFill>
                          <a:schemeClr val="bg1"/>
                        </a:solidFill>
                      </a:rPr>
                      <a:t> </a:t>
                    </a:r>
                  </a:p>
                  <a:p>
                    <a:pPr>
                      <a:defRPr sz="800">
                        <a:solidFill>
                          <a:schemeClr val="bg1"/>
                        </a:solidFill>
                      </a:defRPr>
                    </a:pPr>
                    <a:fld id="{1C18DC37-B425-0742-9B97-E14A9B56149D}" type="VALUE">
                      <a:rPr lang="en-US" sz="800" baseline="0">
                        <a:solidFill>
                          <a:schemeClr val="bg1"/>
                        </a:solidFill>
                      </a:rPr>
                      <a:pPr>
                        <a:defRPr sz="800">
                          <a:solidFill>
                            <a:schemeClr val="bg1"/>
                          </a:solidFill>
                        </a:defRPr>
                      </a:pPr>
                      <a:t>[VALUE]</a:t>
                    </a:fld>
                    <a:r>
                      <a:rPr lang="en-US" sz="800" baseline="0">
                        <a:solidFill>
                          <a:schemeClr val="bg1"/>
                        </a:solidFill>
                      </a:rPr>
                      <a:t> m (86%)</a:t>
                    </a:r>
                  </a:p>
                </c:rich>
              </c:tx>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CH"/>
                </a:p>
              </c:txPr>
              <c:showLegendKey val="0"/>
              <c:showVal val="1"/>
              <c:showCatName val="1"/>
              <c:showSerName val="0"/>
              <c:showPercent val="0"/>
              <c:showBubbleSize val="0"/>
              <c:extLst>
                <c:ext xmlns:c15="http://schemas.microsoft.com/office/drawing/2012/chart" uri="{CE6537A1-D6FC-4f65-9D91-7224C49458BB}">
                  <c15:layout>
                    <c:manualLayout>
                      <c:w val="0.19392117706705847"/>
                      <c:h val="0.36549364906029075"/>
                    </c:manualLayout>
                  </c15:layout>
                  <c15:dlblFieldTable/>
                  <c15:showDataLabelsRange val="0"/>
                </c:ext>
                <c:ext xmlns:c16="http://schemas.microsoft.com/office/drawing/2014/chart" uri="{C3380CC4-5D6E-409C-BE32-E72D297353CC}">
                  <c16:uniqueId val="{00000005-E3FF-450F-88A6-48FC62C6CAF9}"/>
                </c:ext>
              </c:extLst>
            </c:dLbl>
            <c:dLbl>
              <c:idx val="3"/>
              <c:layout>
                <c:manualLayout>
                  <c:x val="3.6197536740233356E-2"/>
                  <c:y val="6.397976895223853E-2"/>
                </c:manualLayout>
              </c:layout>
              <c:tx>
                <c:rich>
                  <a:bodyPr/>
                  <a:lstStyle/>
                  <a:p>
                    <a:fld id="{856066B1-7FAA-3648-B99A-E7B2AC995507}" type="CATEGORYNAME">
                      <a:rPr lang="en-US"/>
                      <a:pPr/>
                      <a:t>[CATEGORY NAME]</a:t>
                    </a:fld>
                    <a:r>
                      <a:rPr lang="en-US" baseline="0"/>
                      <a:t>, </a:t>
                    </a:r>
                    <a:fld id="{5AC13423-BB63-3D47-8AA1-4856EE2595E6}" type="VALUE">
                      <a:rPr lang="en-US" baseline="0"/>
                      <a:pPr/>
                      <a:t>[VALUE]</a:t>
                    </a:fld>
                    <a:r>
                      <a:rPr lang="en-US" baseline="0"/>
                      <a:t> m (14%)</a:t>
                    </a:r>
                  </a:p>
                </c:rich>
              </c:tx>
              <c:showLegendKey val="0"/>
              <c:showVal val="1"/>
              <c:showCatName val="1"/>
              <c:showSerName val="0"/>
              <c:showPercent val="0"/>
              <c:showBubbleSize val="0"/>
              <c:extLst>
                <c:ext xmlns:c15="http://schemas.microsoft.com/office/drawing/2012/chart" uri="{CE6537A1-D6FC-4f65-9D91-7224C49458BB}">
                  <c15:layout>
                    <c:manualLayout>
                      <c:w val="0.20196677944823258"/>
                      <c:h val="0.20383010517845854"/>
                    </c:manualLayout>
                  </c15:layout>
                  <c15:dlblFieldTable/>
                  <c15:showDataLabelsRange val="0"/>
                </c:ext>
                <c:ext xmlns:c16="http://schemas.microsoft.com/office/drawing/2014/chart" uri="{C3380CC4-5D6E-409C-BE32-E72D297353CC}">
                  <c16:uniqueId val="{00000007-E3FF-450F-88A6-48FC62C6CAF9}"/>
                </c:ext>
              </c:extLst>
            </c:dLbl>
            <c:dLbl>
              <c:idx val="4"/>
              <c:layout>
                <c:manualLayout>
                  <c:x val="-0.19724495673257664"/>
                  <c:y val="-0.10082280590838553"/>
                </c:manualLayout>
              </c:layout>
              <c:tx>
                <c:rich>
                  <a:bodyPr rot="0" spcFirstLastPara="1" vertOverflow="ellipsis" vert="horz" wrap="square" anchor="ctr" anchorCtr="1"/>
                  <a:lstStyle/>
                  <a:p>
                    <a:pPr>
                      <a:defRPr sz="1000" b="1"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r>
                      <a:rPr lang="en-US">
                        <a:solidFill>
                          <a:schemeClr val="bg1"/>
                        </a:solidFill>
                      </a:rPr>
                      <a:t>Approved </a:t>
                    </a:r>
                  </a:p>
                  <a:p>
                    <a:pPr>
                      <a:defRPr>
                        <a:solidFill>
                          <a:schemeClr val="bg1"/>
                        </a:solidFill>
                      </a:defRPr>
                    </a:pPr>
                    <a:r>
                      <a:rPr lang="en-US">
                        <a:solidFill>
                          <a:schemeClr val="bg1"/>
                        </a:solidFill>
                      </a:rPr>
                      <a:t>(15 countries),</a:t>
                    </a:r>
                  </a:p>
                  <a:p>
                    <a:pPr>
                      <a:defRPr>
                        <a:solidFill>
                          <a:schemeClr val="bg1"/>
                        </a:solidFill>
                      </a:defRPr>
                    </a:pPr>
                    <a:r>
                      <a:rPr lang="en-US">
                        <a:solidFill>
                          <a:schemeClr val="bg1"/>
                        </a:solidFill>
                      </a:rPr>
                      <a:t> 90.8</a:t>
                    </a:r>
                    <a:r>
                      <a:rPr lang="en-US" baseline="0">
                        <a:solidFill>
                          <a:schemeClr val="bg1"/>
                        </a:solidFill>
                      </a:rPr>
                      <a:t> m</a:t>
                    </a:r>
                    <a:endParaRPr lang="en-US">
                      <a:solidFill>
                        <a:schemeClr val="bg1"/>
                      </a:solidFill>
                    </a:endParaRPr>
                  </a:p>
                </c:rich>
              </c:tx>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CH"/>
                </a:p>
              </c:txPr>
              <c:showLegendKey val="0"/>
              <c:showVal val="1"/>
              <c:showCatName val="1"/>
              <c:showSerName val="0"/>
              <c:showPercent val="0"/>
              <c:showBubbleSize val="0"/>
              <c:extLst>
                <c:ext xmlns:c15="http://schemas.microsoft.com/office/drawing/2012/chart" uri="{CE6537A1-D6FC-4f65-9D91-7224C49458BB}">
                  <c15:layout>
                    <c:manualLayout>
                      <c:w val="0.19477911646586346"/>
                      <c:h val="0.31824417009602196"/>
                    </c:manualLayout>
                  </c15:layout>
                  <c15:showDataLabelsRange val="0"/>
                </c:ext>
                <c:ext xmlns:c16="http://schemas.microsoft.com/office/drawing/2014/chart" uri="{C3380CC4-5D6E-409C-BE32-E72D297353CC}">
                  <c16:uniqueId val="{00000009-E3FF-450F-88A6-48FC62C6CAF9}"/>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CH"/>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Conditionally approved</c:v>
                </c:pt>
                <c:pt idx="1">
                  <c:v>Pipe line</c:v>
                </c:pt>
                <c:pt idx="2">
                  <c:v>Transferred</c:v>
                </c:pt>
                <c:pt idx="3">
                  <c:v>Balance</c:v>
                </c:pt>
              </c:strCache>
            </c:strRef>
          </c:cat>
          <c:val>
            <c:numRef>
              <c:f>Sheet1!$B$2:$B$5</c:f>
              <c:numCache>
                <c:formatCode>General</c:formatCode>
                <c:ptCount val="4"/>
                <c:pt idx="0">
                  <c:v>16.100000000000001</c:v>
                </c:pt>
                <c:pt idx="2">
                  <c:v>78.5</c:v>
                </c:pt>
                <c:pt idx="3">
                  <c:v>12.299999999999997</c:v>
                </c:pt>
              </c:numCache>
            </c:numRef>
          </c:val>
          <c:extLst>
            <c:ext xmlns:c16="http://schemas.microsoft.com/office/drawing/2014/chart" uri="{C3380CC4-5D6E-409C-BE32-E72D297353CC}">
              <c16:uniqueId val="{0000000A-E3FF-450F-88A6-48FC62C6CAF9}"/>
            </c:ext>
          </c:extLst>
        </c:ser>
        <c:dLbls>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latin typeface="Open Sans" panose="020B0606030504020204" pitchFamily="34" charset="0"/>
          <a:ea typeface="Open Sans" panose="020B0606030504020204" pitchFamily="34" charset="0"/>
          <a:cs typeface="Open Sans" panose="020B0606030504020204" pitchFamily="34" charset="0"/>
        </a:defRPr>
      </a:pPr>
      <a:endParaRPr lang="en-C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73227108997449"/>
          <c:y val="3.9450093372751426E-2"/>
          <c:w val="0.47835110433144051"/>
          <c:h val="0.82019031493147909"/>
        </c:manualLayout>
      </c:layout>
      <c:barChart>
        <c:barDir val="bar"/>
        <c:grouping val="percentStacked"/>
        <c:varyColors val="0"/>
        <c:ser>
          <c:idx val="0"/>
          <c:order val="0"/>
          <c:tx>
            <c:strRef>
              <c:f>Sheet1!$B$1</c:f>
              <c:strCache>
                <c:ptCount val="1"/>
                <c:pt idx="0">
                  <c:v>Achieved</c:v>
                </c:pt>
              </c:strCache>
            </c:strRef>
          </c:tx>
          <c:spPr>
            <a:solidFill>
              <a:srgbClr val="018C8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53C1-4CB2-B676-9A0368C3E94C}"/>
                </c:ext>
              </c:extLst>
            </c:dLbl>
            <c:dLbl>
              <c:idx val="1"/>
              <c:delete val="1"/>
              <c:extLst>
                <c:ext xmlns:c15="http://schemas.microsoft.com/office/drawing/2012/chart" uri="{CE6537A1-D6FC-4f65-9D91-7224C49458BB}"/>
                <c:ext xmlns:c16="http://schemas.microsoft.com/office/drawing/2014/chart" uri="{C3380CC4-5D6E-409C-BE32-E72D297353CC}">
                  <c16:uniqueId val="{00000007-53C1-4CB2-B676-9A0368C3E94C}"/>
                </c:ext>
              </c:extLst>
            </c:dLbl>
            <c:dLbl>
              <c:idx val="2"/>
              <c:delete val="1"/>
              <c:extLst>
                <c:ext xmlns:c15="http://schemas.microsoft.com/office/drawing/2012/chart" uri="{CE6537A1-D6FC-4f65-9D91-7224C49458BB}"/>
                <c:ext xmlns:c16="http://schemas.microsoft.com/office/drawing/2014/chart" uri="{C3380CC4-5D6E-409C-BE32-E72D297353CC}">
                  <c16:uniqueId val="{00000006-53C1-4CB2-B676-9A0368C3E94C}"/>
                </c:ext>
              </c:extLst>
            </c:dLbl>
            <c:dLbl>
              <c:idx val="3"/>
              <c:delete val="1"/>
              <c:extLst>
                <c:ext xmlns:c15="http://schemas.microsoft.com/office/drawing/2012/chart" uri="{CE6537A1-D6FC-4f65-9D91-7224C49458BB}"/>
                <c:ext xmlns:c16="http://schemas.microsoft.com/office/drawing/2014/chart" uri="{C3380CC4-5D6E-409C-BE32-E72D297353CC}">
                  <c16:uniqueId val="{00000008-53C1-4CB2-B676-9A0368C3E94C}"/>
                </c:ext>
              </c:extLst>
            </c:dLbl>
            <c:dLbl>
              <c:idx val="5"/>
              <c:delete val="1"/>
              <c:extLst>
                <c:ext xmlns:c15="http://schemas.microsoft.com/office/drawing/2012/chart" uri="{CE6537A1-D6FC-4f65-9D91-7224C49458BB}"/>
                <c:ext xmlns:c16="http://schemas.microsoft.com/office/drawing/2014/chart" uri="{C3380CC4-5D6E-409C-BE32-E72D297353CC}">
                  <c16:uniqueId val="{00000005-53C1-4CB2-B676-9A0368C3E94C}"/>
                </c:ext>
              </c:extLst>
            </c:dLbl>
            <c:dLbl>
              <c:idx val="6"/>
              <c:delete val="1"/>
              <c:extLst>
                <c:ext xmlns:c15="http://schemas.microsoft.com/office/drawing/2012/chart" uri="{CE6537A1-D6FC-4f65-9D91-7224C49458BB}"/>
                <c:ext xmlns:c16="http://schemas.microsoft.com/office/drawing/2014/chart" uri="{C3380CC4-5D6E-409C-BE32-E72D297353CC}">
                  <c16:uniqueId val="{00000004-53C1-4CB2-B676-9A0368C3E94C}"/>
                </c:ext>
              </c:extLst>
            </c:dLbl>
            <c:dLbl>
              <c:idx val="7"/>
              <c:delete val="1"/>
              <c:extLst>
                <c:ext xmlns:c15="http://schemas.microsoft.com/office/drawing/2012/chart" uri="{CE6537A1-D6FC-4f65-9D91-7224C49458BB}"/>
                <c:ext xmlns:c16="http://schemas.microsoft.com/office/drawing/2014/chart" uri="{C3380CC4-5D6E-409C-BE32-E72D297353CC}">
                  <c16:uniqueId val="{00000003-53C1-4CB2-B676-9A0368C3E94C}"/>
                </c:ext>
              </c:extLst>
            </c:dLbl>
            <c:dLbl>
              <c:idx val="8"/>
              <c:delete val="1"/>
              <c:extLst>
                <c:ext xmlns:c15="http://schemas.microsoft.com/office/drawing/2012/chart" uri="{CE6537A1-D6FC-4f65-9D91-7224C49458BB}"/>
                <c:ext xmlns:c16="http://schemas.microsoft.com/office/drawing/2014/chart" uri="{C3380CC4-5D6E-409C-BE32-E72D297353CC}">
                  <c16:uniqueId val="{00000002-53C1-4CB2-B676-9A0368C3E94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C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1.1 National consultations conducted</c:v>
                </c:pt>
                <c:pt idx="1">
                  <c:v>1.2 NMHS institutional capacity </c:v>
                </c:pt>
                <c:pt idx="2">
                  <c:v>1.3 NMHS human capacity developed</c:v>
                </c:pt>
                <c:pt idx="3">
                  <c:v>2.1 New land-based stations in place </c:v>
                </c:pt>
                <c:pt idx="4">
                  <c:v>2.2 Improved land-based stations in place</c:v>
                </c:pt>
                <c:pt idx="5">
                  <c:v>2.3 New upper air stations in place</c:v>
                </c:pt>
                <c:pt idx="6">
                  <c:v>2.4 Improved upper air stations in place</c:v>
                </c:pt>
                <c:pt idx="7">
                  <c:v>3.1 GBON land-based stations’ commissioning period completed</c:v>
                </c:pt>
                <c:pt idx="8">
                  <c:v>3.2 GBON upper air stations’ commissioning period completed</c:v>
                </c:pt>
              </c:strCache>
            </c:strRef>
          </c:cat>
          <c:val>
            <c:numRef>
              <c:f>Sheet1!$B$2:$B$10</c:f>
              <c:numCache>
                <c:formatCode>General</c:formatCode>
                <c:ptCount val="9"/>
                <c:pt idx="0">
                  <c:v>0</c:v>
                </c:pt>
                <c:pt idx="1">
                  <c:v>0</c:v>
                </c:pt>
                <c:pt idx="2">
                  <c:v>0</c:v>
                </c:pt>
                <c:pt idx="3">
                  <c:v>0</c:v>
                </c:pt>
                <c:pt idx="4">
                  <c:v>1</c:v>
                </c:pt>
                <c:pt idx="5">
                  <c:v>0</c:v>
                </c:pt>
                <c:pt idx="6">
                  <c:v>0</c:v>
                </c:pt>
                <c:pt idx="7">
                  <c:v>0</c:v>
                </c:pt>
                <c:pt idx="8">
                  <c:v>0</c:v>
                </c:pt>
              </c:numCache>
            </c:numRef>
          </c:val>
          <c:extLst>
            <c:ext xmlns:c16="http://schemas.microsoft.com/office/drawing/2014/chart" uri="{C3380CC4-5D6E-409C-BE32-E72D297353CC}">
              <c16:uniqueId val="{00000000-672F-401D-9B1B-FF0E6DC69F04}"/>
            </c:ext>
          </c:extLst>
        </c:ser>
        <c:ser>
          <c:idx val="1"/>
          <c:order val="1"/>
          <c:tx>
            <c:strRef>
              <c:f>Sheet1!$C$1</c:f>
              <c:strCache>
                <c:ptCount val="1"/>
                <c:pt idx="0">
                  <c:v>On-track</c:v>
                </c:pt>
              </c:strCache>
            </c:strRef>
          </c:tx>
          <c:spPr>
            <a:solidFill>
              <a:srgbClr val="F4B72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C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1.1 National consultations conducted</c:v>
                </c:pt>
                <c:pt idx="1">
                  <c:v>1.2 NMHS institutional capacity </c:v>
                </c:pt>
                <c:pt idx="2">
                  <c:v>1.3 NMHS human capacity developed</c:v>
                </c:pt>
                <c:pt idx="3">
                  <c:v>2.1 New land-based stations in place </c:v>
                </c:pt>
                <c:pt idx="4">
                  <c:v>2.2 Improved land-based stations in place</c:v>
                </c:pt>
                <c:pt idx="5">
                  <c:v>2.3 New upper air stations in place</c:v>
                </c:pt>
                <c:pt idx="6">
                  <c:v>2.4 Improved upper air stations in place</c:v>
                </c:pt>
                <c:pt idx="7">
                  <c:v>3.1 GBON land-based stations’ commissioning period completed</c:v>
                </c:pt>
                <c:pt idx="8">
                  <c:v>3.2 GBON upper air stations’ commissioning period completed</c:v>
                </c:pt>
              </c:strCache>
            </c:strRef>
          </c:cat>
          <c:val>
            <c:numRef>
              <c:f>Sheet1!$C$2:$C$10</c:f>
              <c:numCache>
                <c:formatCode>General</c:formatCode>
                <c:ptCount val="9"/>
                <c:pt idx="0">
                  <c:v>10</c:v>
                </c:pt>
                <c:pt idx="1">
                  <c:v>7</c:v>
                </c:pt>
                <c:pt idx="2">
                  <c:v>7</c:v>
                </c:pt>
                <c:pt idx="3">
                  <c:v>5</c:v>
                </c:pt>
                <c:pt idx="4">
                  <c:v>8</c:v>
                </c:pt>
                <c:pt idx="5">
                  <c:v>6</c:v>
                </c:pt>
                <c:pt idx="6">
                  <c:v>3</c:v>
                </c:pt>
                <c:pt idx="7">
                  <c:v>4</c:v>
                </c:pt>
                <c:pt idx="8">
                  <c:v>3</c:v>
                </c:pt>
              </c:numCache>
            </c:numRef>
          </c:val>
          <c:extLst>
            <c:ext xmlns:c16="http://schemas.microsoft.com/office/drawing/2014/chart" uri="{C3380CC4-5D6E-409C-BE32-E72D297353CC}">
              <c16:uniqueId val="{00000003-672F-401D-9B1B-FF0E6DC69F04}"/>
            </c:ext>
          </c:extLst>
        </c:ser>
        <c:ser>
          <c:idx val="2"/>
          <c:order val="2"/>
          <c:tx>
            <c:strRef>
              <c:f>Sheet1!$D$1</c:f>
              <c:strCache>
                <c:ptCount val="1"/>
                <c:pt idx="0">
                  <c:v>Delayed</c:v>
                </c:pt>
              </c:strCache>
            </c:strRef>
          </c:tx>
          <c:spPr>
            <a:solidFill>
              <a:srgbClr val="D9654C"/>
            </a:solidFill>
            <a:ln>
              <a:noFill/>
            </a:ln>
            <a:effectLst/>
          </c:spPr>
          <c:invertIfNegative val="0"/>
          <c:dLbls>
            <c:delete val="1"/>
          </c:dLbls>
          <c:cat>
            <c:strRef>
              <c:f>Sheet1!$A$2:$A$10</c:f>
              <c:strCache>
                <c:ptCount val="9"/>
                <c:pt idx="0">
                  <c:v>1.1 National consultations conducted</c:v>
                </c:pt>
                <c:pt idx="1">
                  <c:v>1.2 NMHS institutional capacity </c:v>
                </c:pt>
                <c:pt idx="2">
                  <c:v>1.3 NMHS human capacity developed</c:v>
                </c:pt>
                <c:pt idx="3">
                  <c:v>2.1 New land-based stations in place </c:v>
                </c:pt>
                <c:pt idx="4">
                  <c:v>2.2 Improved land-based stations in place</c:v>
                </c:pt>
                <c:pt idx="5">
                  <c:v>2.3 New upper air stations in place</c:v>
                </c:pt>
                <c:pt idx="6">
                  <c:v>2.4 Improved upper air stations in place</c:v>
                </c:pt>
                <c:pt idx="7">
                  <c:v>3.1 GBON land-based stations’ commissioning period completed</c:v>
                </c:pt>
                <c:pt idx="8">
                  <c:v>3.2 GBON upper air stations’ commissioning period completed</c:v>
                </c:pt>
              </c:strCache>
            </c:strRef>
          </c:cat>
          <c:val>
            <c:numRef>
              <c:f>Sheet1!$D$2:$D$10</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8-672F-401D-9B1B-FF0E6DC69F04}"/>
            </c:ext>
          </c:extLst>
        </c:ser>
        <c:ser>
          <c:idx val="3"/>
          <c:order val="3"/>
          <c:tx>
            <c:strRef>
              <c:f>Sheet1!$E$1</c:f>
              <c:strCache>
                <c:ptCount val="1"/>
                <c:pt idx="0">
                  <c:v>Not yet started</c:v>
                </c:pt>
              </c:strCache>
            </c:strRef>
          </c:tx>
          <c:spPr>
            <a:solidFill>
              <a:srgbClr val="418FD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C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1.1 National consultations conducted</c:v>
                </c:pt>
                <c:pt idx="1">
                  <c:v>1.2 NMHS institutional capacity </c:v>
                </c:pt>
                <c:pt idx="2">
                  <c:v>1.3 NMHS human capacity developed</c:v>
                </c:pt>
                <c:pt idx="3">
                  <c:v>2.1 New land-based stations in place </c:v>
                </c:pt>
                <c:pt idx="4">
                  <c:v>2.2 Improved land-based stations in place</c:v>
                </c:pt>
                <c:pt idx="5">
                  <c:v>2.3 New upper air stations in place</c:v>
                </c:pt>
                <c:pt idx="6">
                  <c:v>2.4 Improved upper air stations in place</c:v>
                </c:pt>
                <c:pt idx="7">
                  <c:v>3.1 GBON land-based stations’ commissioning period completed</c:v>
                </c:pt>
                <c:pt idx="8">
                  <c:v>3.2 GBON upper air stations’ commissioning period completed</c:v>
                </c:pt>
              </c:strCache>
            </c:strRef>
          </c:cat>
          <c:val>
            <c:numRef>
              <c:f>Sheet1!$E$2:$E$10</c:f>
              <c:numCache>
                <c:formatCode>General</c:formatCode>
                <c:ptCount val="9"/>
                <c:pt idx="0">
                  <c:v>4</c:v>
                </c:pt>
                <c:pt idx="1">
                  <c:v>7</c:v>
                </c:pt>
                <c:pt idx="2">
                  <c:v>7</c:v>
                </c:pt>
                <c:pt idx="3">
                  <c:v>7</c:v>
                </c:pt>
                <c:pt idx="4">
                  <c:v>5</c:v>
                </c:pt>
                <c:pt idx="5">
                  <c:v>7</c:v>
                </c:pt>
                <c:pt idx="6">
                  <c:v>7</c:v>
                </c:pt>
                <c:pt idx="7">
                  <c:v>10</c:v>
                </c:pt>
                <c:pt idx="8">
                  <c:v>11</c:v>
                </c:pt>
              </c:numCache>
            </c:numRef>
          </c:val>
          <c:extLst>
            <c:ext xmlns:c16="http://schemas.microsoft.com/office/drawing/2014/chart" uri="{C3380CC4-5D6E-409C-BE32-E72D297353CC}">
              <c16:uniqueId val="{00000009-672F-401D-9B1B-FF0E6DC69F04}"/>
            </c:ext>
          </c:extLst>
        </c:ser>
        <c:dLbls>
          <c:dLblPos val="ctr"/>
          <c:showLegendKey val="0"/>
          <c:showVal val="1"/>
          <c:showCatName val="0"/>
          <c:showSerName val="0"/>
          <c:showPercent val="0"/>
          <c:showBubbleSize val="0"/>
        </c:dLbls>
        <c:gapWidth val="50"/>
        <c:overlap val="100"/>
        <c:axId val="1454752960"/>
        <c:axId val="1454742880"/>
      </c:barChart>
      <c:catAx>
        <c:axId val="14547529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CH"/>
          </a:p>
        </c:txPr>
        <c:crossAx val="1454742880"/>
        <c:crosses val="autoZero"/>
        <c:auto val="1"/>
        <c:lblAlgn val="ctr"/>
        <c:lblOffset val="100"/>
        <c:noMultiLvlLbl val="0"/>
      </c:catAx>
      <c:valAx>
        <c:axId val="1454742880"/>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454752960"/>
        <c:crosses val="autoZero"/>
        <c:crossBetween val="between"/>
      </c:valAx>
      <c:spPr>
        <a:noFill/>
        <a:ln>
          <a:noFill/>
        </a:ln>
        <a:effectLst/>
      </c:spPr>
    </c:plotArea>
    <c:legend>
      <c:legendPos val="b"/>
      <c:layout>
        <c:manualLayout>
          <c:xMode val="edge"/>
          <c:yMode val="edge"/>
          <c:x val="0.55441111915036112"/>
          <c:y val="0.91307048112536249"/>
          <c:w val="0.44558888084963882"/>
          <c:h val="6.839241730372748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C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Open Sans" panose="020B0606030504020204" pitchFamily="34" charset="0"/>
          <a:ea typeface="Open Sans" panose="020B0606030504020204" pitchFamily="34" charset="0"/>
          <a:cs typeface="Open Sans" panose="020B0606030504020204" pitchFamily="34" charset="0"/>
        </a:defRPr>
      </a:pPr>
      <a:endParaRPr lang="en-CH"/>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000000"/>
      </a:dk1>
      <a:lt1>
        <a:srgbClr val="FFFFFF"/>
      </a:lt1>
      <a:dk2>
        <a:srgbClr val="1C3353"/>
      </a:dk2>
      <a:lt2>
        <a:srgbClr val="D9D9D9"/>
      </a:lt2>
      <a:accent1>
        <a:srgbClr val="1C3353"/>
      </a:accent1>
      <a:accent2>
        <a:srgbClr val="185980"/>
      </a:accent2>
      <a:accent3>
        <a:srgbClr val="008B85"/>
      </a:accent3>
      <a:accent4>
        <a:srgbClr val="FFCC4F"/>
      </a:accent4>
      <a:accent5>
        <a:srgbClr val="FF593A"/>
      </a:accent5>
      <a:accent6>
        <a:srgbClr val="8C0108"/>
      </a:accent6>
      <a:hlink>
        <a:srgbClr val="18587F"/>
      </a:hlink>
      <a:folHlink>
        <a:srgbClr val="3332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abbe4a-f4cb-4707-b1e1-3d3725ff8567">
      <Terms xmlns="http://schemas.microsoft.com/office/infopath/2007/PartnerControls"/>
    </lcf76f155ced4ddcb4097134ff3c332f>
    <TaxCatchAll xmlns="5968b4ee-7f12-42dc-9764-72d1cdfc0802" xsi:nil="true"/>
    <WMOWFApprovalStatus xmlns="715fcdb6-58ff-4d84-993c-bb26a5b54815">Not Submitted</WMOWFApprovalStatus>
    <_dlc_DocId xmlns="5968b4ee-7f12-42dc-9764-72d1cdfc0802">SOFF-1412634852-6440649</_dlc_DocId>
    <_dlc_DocIdUrl xmlns="5968b4ee-7f12-42dc-9764-72d1cdfc0802">
      <Url>https://wmoomm.sharepoint.com/sites/SOFF/_layouts/15/DocIdRedir.aspx?ID=SOFF-1412634852-6440649</Url>
      <Description>SOFF-1412634852-6440649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2F777A3B37C245853E6762AE9D7153" ma:contentTypeVersion="22" ma:contentTypeDescription="Create a new document." ma:contentTypeScope="" ma:versionID="446dc3fa5d4a6a9d19354a09f74594aa">
  <xsd:schema xmlns:xsd="http://www.w3.org/2001/XMLSchema" xmlns:xs="http://www.w3.org/2001/XMLSchema" xmlns:p="http://schemas.microsoft.com/office/2006/metadata/properties" xmlns:ns2="715fcdb6-58ff-4d84-993c-bb26a5b54815" xmlns:ns3="4dabbe4a-f4cb-4707-b1e1-3d3725ff8567" xmlns:ns4="5968b4ee-7f12-42dc-9764-72d1cdfc0802" targetNamespace="http://schemas.microsoft.com/office/2006/metadata/properties" ma:root="true" ma:fieldsID="18f6374a56a54835f8b087d3dc66bde8" ns2:_="" ns3:_="" ns4:_="">
    <xsd:import namespace="715fcdb6-58ff-4d84-993c-bb26a5b54815"/>
    <xsd:import namespace="4dabbe4a-f4cb-4707-b1e1-3d3725ff8567"/>
    <xsd:import namespace="5968b4ee-7f12-42dc-9764-72d1cdfc0802"/>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4dabbe4a-f4cb-4707-b1e1-3d3725ff856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8b4ee-7f12-42dc-9764-72d1cdfc08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f35311-2802-4468-98b9-e3cb5a9840b9}" ma:internalName="TaxCatchAll" ma:showField="CatchAllData" ma:web="5968b4ee-7f12-42dc-9764-72d1cdfc0802">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2a3b380-abf6-46f2-87bb-c2c114de1c9e" ContentTypeId="0x01" PreviousValue="false"/>
</file>

<file path=customXml/itemProps1.xml><?xml version="1.0" encoding="utf-8"?>
<ds:datastoreItem xmlns:ds="http://schemas.openxmlformats.org/officeDocument/2006/customXml" ds:itemID="{A5D3B465-B5EB-E441-9476-0F195968E9D0}">
  <ds:schemaRefs>
    <ds:schemaRef ds:uri="http://schemas.openxmlformats.org/officeDocument/2006/bibliography"/>
  </ds:schemaRefs>
</ds:datastoreItem>
</file>

<file path=customXml/itemProps2.xml><?xml version="1.0" encoding="utf-8"?>
<ds:datastoreItem xmlns:ds="http://schemas.openxmlformats.org/officeDocument/2006/customXml" ds:itemID="{7BEF6B6E-6206-47A3-8AA8-4A74D80D560F}">
  <ds:schemaRefs>
    <ds:schemaRef ds:uri="http://schemas.microsoft.com/office/2006/metadata/properties"/>
    <ds:schemaRef ds:uri="http://schemas.microsoft.com/office/infopath/2007/PartnerControls"/>
    <ds:schemaRef ds:uri="4dabbe4a-f4cb-4707-b1e1-3d3725ff8567"/>
    <ds:schemaRef ds:uri="5968b4ee-7f12-42dc-9764-72d1cdfc0802"/>
    <ds:schemaRef ds:uri="715fcdb6-58ff-4d84-993c-bb26a5b54815"/>
  </ds:schemaRefs>
</ds:datastoreItem>
</file>

<file path=customXml/itemProps3.xml><?xml version="1.0" encoding="utf-8"?>
<ds:datastoreItem xmlns:ds="http://schemas.openxmlformats.org/officeDocument/2006/customXml" ds:itemID="{DC9B1160-7B83-4C48-9F85-878A9E9484E3}">
  <ds:schemaRefs>
    <ds:schemaRef ds:uri="http://schemas.microsoft.com/sharepoint/events"/>
  </ds:schemaRefs>
</ds:datastoreItem>
</file>

<file path=customXml/itemProps4.xml><?xml version="1.0" encoding="utf-8"?>
<ds:datastoreItem xmlns:ds="http://schemas.openxmlformats.org/officeDocument/2006/customXml" ds:itemID="{9A5FD958-8E1F-4756-9161-CA6CC095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4dabbe4a-f4cb-4707-b1e1-3d3725ff8567"/>
    <ds:schemaRef ds:uri="5968b4ee-7f12-42dc-9764-72d1cdfc0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7958F2-681F-4F78-A787-F1C8714F4AFD}">
  <ds:schemaRefs>
    <ds:schemaRef ds:uri="http://schemas.microsoft.com/sharepoint/v3/contenttype/forms"/>
  </ds:schemaRefs>
</ds:datastoreItem>
</file>

<file path=customXml/itemProps6.xml><?xml version="1.0" encoding="utf-8"?>
<ds:datastoreItem xmlns:ds="http://schemas.openxmlformats.org/officeDocument/2006/customXml" ds:itemID="{AD312467-5CF2-4231-8F04-08FDE145C5A0}">
  <ds:schemaRefs>
    <ds:schemaRef ds:uri="Microsoft.SharePoint.Taxonomy.ContentTypeSync"/>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3</TotalTime>
  <Pages>34</Pages>
  <Words>8341</Words>
  <Characters>47546</Characters>
  <Application>Microsoft Office Word</Application>
  <DocSecurity>0</DocSecurity>
  <Lines>396</Lines>
  <Paragraphs>111</Paragraphs>
  <ScaleCrop>false</ScaleCrop>
  <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Trepczyk</dc:creator>
  <cp:keywords/>
  <dc:description/>
  <cp:lastModifiedBy>Mario Peiro Espi</cp:lastModifiedBy>
  <cp:revision>143</cp:revision>
  <cp:lastPrinted>2025-04-04T18:32:00Z</cp:lastPrinted>
  <dcterms:created xsi:type="dcterms:W3CDTF">2025-09-12T14:12:00Z</dcterms:created>
  <dcterms:modified xsi:type="dcterms:W3CDTF">2025-10-06T08:34:00Z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0x010100752F777A3B37C245853E6762AE9D7153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536dd915-60c6-48e3-b844-0d35e855bd04</vt:lpwstr>
  </property>
</Properties>
</file>